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F008F8">
        <w:rPr>
          <w:b/>
          <w:noProof/>
          <w:sz w:val="20"/>
          <w:szCs w:val="20"/>
        </w:rPr>
        <w:t>20.1</w:t>
      </w:r>
    </w:p>
    <w:p w:rsidR="00600E9B" w:rsidRDefault="00600E9B" w:rsidP="00082243">
      <w:pPr>
        <w:spacing w:after="0" w:line="240" w:lineRule="auto"/>
        <w:rPr>
          <w:rFonts w:ascii="Courier New" w:eastAsia="Times New Roman" w:hAnsi="Courier New" w:cs="Courier New"/>
          <w:color w:val="000000"/>
          <w:sz w:val="18"/>
          <w:szCs w:val="26"/>
        </w:rPr>
      </w:pPr>
    </w:p>
    <w:p w:rsidR="009C4918" w:rsidRPr="009C4918" w:rsidRDefault="009C4918" w:rsidP="009C4918">
      <w:pPr>
        <w:spacing w:after="0" w:line="240" w:lineRule="auto"/>
        <w:rPr>
          <w:rFonts w:ascii="STIX" w:eastAsia="Times New Roman" w:hAnsi="STIX"/>
          <w:sz w:val="20"/>
          <w:szCs w:val="24"/>
        </w:rPr>
      </w:pPr>
      <w:r w:rsidRPr="009C4918">
        <w:rPr>
          <w:rFonts w:ascii="STIX" w:eastAsia="Times New Roman" w:hAnsi="STIX"/>
          <w:sz w:val="20"/>
          <w:szCs w:val="24"/>
        </w:rPr>
        <w:t>The integral can be evaluated analytically as,</w:t>
      </w:r>
    </w:p>
    <w:p w:rsidR="009C4918" w:rsidRPr="009C4918" w:rsidRDefault="009C4918" w:rsidP="009C4918">
      <w:pPr>
        <w:spacing w:after="0" w:line="240" w:lineRule="auto"/>
        <w:rPr>
          <w:rFonts w:ascii="STIX" w:eastAsia="Times New Roman" w:hAnsi="STIX"/>
          <w:sz w:val="20"/>
          <w:szCs w:val="24"/>
        </w:rPr>
      </w:pPr>
    </w:p>
    <w:p w:rsidR="009C4918" w:rsidRPr="009C4918" w:rsidRDefault="009C4918" w:rsidP="009C4918">
      <w:pPr>
        <w:spacing w:after="0" w:line="240" w:lineRule="auto"/>
        <w:rPr>
          <w:rFonts w:ascii="STIX" w:eastAsia="Times New Roman" w:hAnsi="STIX" w:cs="STIX MathJax Main"/>
          <w:sz w:val="20"/>
          <w:szCs w:val="20"/>
        </w:rPr>
      </w:pPr>
      <w:r w:rsidRPr="009C4918">
        <w:rPr>
          <w:rFonts w:ascii="STIX" w:eastAsia="Times New Roman" w:hAnsi="STIX" w:cs="STIX MathJax Main"/>
          <w:position w:val="-30"/>
          <w:sz w:val="20"/>
          <w:szCs w:val="20"/>
        </w:rPr>
        <w:object w:dxaOrig="387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76" type="#_x0000_t75" style="width:194.25pt;height:39pt" o:ole="">
            <v:imagedata r:id="rId8" o:title=""/>
          </v:shape>
          <o:OLEObject Type="Embed" ProgID="Equation.DSMT4" ShapeID="_x0000_i2576" DrawAspect="Content" ObjectID="_1552480005" r:id="rId9"/>
        </w:object>
      </w:r>
    </w:p>
    <w:p w:rsidR="009C4918" w:rsidRPr="009C4918" w:rsidRDefault="009C4918" w:rsidP="009C4918">
      <w:pPr>
        <w:spacing w:after="0" w:line="240" w:lineRule="auto"/>
        <w:rPr>
          <w:rFonts w:ascii="STIX" w:eastAsia="Times New Roman" w:hAnsi="STIX" w:cs="STIX MathJax Main"/>
          <w:sz w:val="20"/>
          <w:szCs w:val="20"/>
        </w:rPr>
      </w:pPr>
    </w:p>
    <w:p w:rsidR="009C4918" w:rsidRPr="009C4918" w:rsidRDefault="009C4918" w:rsidP="009C4918">
      <w:pPr>
        <w:spacing w:after="0" w:line="240" w:lineRule="auto"/>
        <w:rPr>
          <w:rFonts w:ascii="STIX" w:eastAsia="Times New Roman" w:hAnsi="STIX" w:cs="STIX MathJax Main"/>
          <w:sz w:val="20"/>
          <w:szCs w:val="20"/>
        </w:rPr>
      </w:pPr>
      <w:r w:rsidRPr="009C4918">
        <w:rPr>
          <w:rFonts w:ascii="STIX" w:eastAsia="Times New Roman" w:hAnsi="STIX" w:cs="STIX MathJax Main"/>
          <w:position w:val="-34"/>
          <w:sz w:val="20"/>
          <w:szCs w:val="20"/>
        </w:rPr>
        <w:object w:dxaOrig="5560" w:dyaOrig="840">
          <v:shape id="_x0000_i2577" type="#_x0000_t75" style="width:278.25pt;height:42pt" o:ole="">
            <v:imagedata r:id="rId10" o:title=""/>
          </v:shape>
          <o:OLEObject Type="Embed" ProgID="Equation.DSMT4" ShapeID="_x0000_i2577" DrawAspect="Content" ObjectID="_1552480006" r:id="rId11"/>
        </w:object>
      </w:r>
    </w:p>
    <w:p w:rsidR="009C4918" w:rsidRPr="009C4918" w:rsidRDefault="009C4918" w:rsidP="009C4918">
      <w:pPr>
        <w:spacing w:after="0" w:line="240" w:lineRule="auto"/>
        <w:rPr>
          <w:rFonts w:ascii="STIX" w:eastAsia="Times New Roman" w:hAnsi="STIX"/>
          <w:sz w:val="20"/>
          <w:szCs w:val="24"/>
        </w:rPr>
      </w:pPr>
    </w:p>
    <w:p w:rsidR="009C4918" w:rsidRPr="009C4918" w:rsidRDefault="009C4918" w:rsidP="009C4918">
      <w:pPr>
        <w:spacing w:after="0" w:line="240" w:lineRule="auto"/>
        <w:rPr>
          <w:rFonts w:ascii="STIX" w:eastAsia="Times New Roman" w:hAnsi="STIX"/>
          <w:sz w:val="20"/>
          <w:szCs w:val="24"/>
        </w:rPr>
      </w:pPr>
      <w:r w:rsidRPr="009C4918">
        <w:rPr>
          <w:rFonts w:ascii="STIX" w:eastAsia="Times New Roman" w:hAnsi="STIX"/>
          <w:sz w:val="20"/>
          <w:szCs w:val="24"/>
        </w:rPr>
        <w:t xml:space="preserve">The tableau depicting the implementation of Romberg integration to </w:t>
      </w:r>
      <w:r w:rsidRPr="009C4918">
        <w:rPr>
          <w:rFonts w:ascii="Courier New" w:eastAsia="Times New Roman" w:hAnsi="Courier New"/>
          <w:i/>
          <w:sz w:val="20"/>
          <w:szCs w:val="24"/>
        </w:rPr>
        <w:sym w:font="Symbol" w:char="F065"/>
      </w:r>
      <w:r w:rsidRPr="009C4918">
        <w:rPr>
          <w:rFonts w:ascii="STIX" w:eastAsia="Times New Roman" w:hAnsi="STIX"/>
          <w:i/>
          <w:sz w:val="20"/>
          <w:szCs w:val="24"/>
          <w:vertAlign w:val="subscript"/>
        </w:rPr>
        <w:t>s</w:t>
      </w:r>
      <w:r w:rsidRPr="009C4918">
        <w:rPr>
          <w:rFonts w:ascii="STIX" w:eastAsia="Times New Roman" w:hAnsi="STIX"/>
          <w:sz w:val="20"/>
          <w:szCs w:val="24"/>
        </w:rPr>
        <w:t xml:space="preserve"> </w:t>
      </w:r>
      <w:r w:rsidRPr="009C4918">
        <w:rPr>
          <w:rFonts w:ascii="Courier New" w:eastAsia="Times New Roman" w:hAnsi="Courier New"/>
          <w:sz w:val="20"/>
          <w:szCs w:val="24"/>
        </w:rPr>
        <w:t>=</w:t>
      </w:r>
      <w:r w:rsidRPr="009C4918">
        <w:rPr>
          <w:rFonts w:ascii="STIX" w:eastAsia="Times New Roman" w:hAnsi="STIX"/>
          <w:sz w:val="20"/>
          <w:szCs w:val="24"/>
        </w:rPr>
        <w:t xml:space="preserve"> 0.5</w:t>
      </w:r>
      <w:r w:rsidRPr="009C4918">
        <w:rPr>
          <w:rFonts w:ascii="Courier New" w:eastAsia="Times New Roman" w:hAnsi="Courier New"/>
          <w:sz w:val="20"/>
          <w:szCs w:val="24"/>
        </w:rPr>
        <w:t>%</w:t>
      </w:r>
      <w:r w:rsidRPr="009C4918">
        <w:rPr>
          <w:rFonts w:ascii="STIX" w:eastAsia="Times New Roman" w:hAnsi="STIX"/>
          <w:sz w:val="20"/>
          <w:szCs w:val="24"/>
        </w:rPr>
        <w:t xml:space="preserve"> is</w:t>
      </w:r>
    </w:p>
    <w:p w:rsidR="009C4918" w:rsidRPr="009C4918" w:rsidRDefault="009C4918" w:rsidP="009C4918">
      <w:pPr>
        <w:spacing w:after="0" w:line="240" w:lineRule="auto"/>
        <w:rPr>
          <w:rFonts w:ascii="STIX" w:eastAsia="Times New Roman" w:hAnsi="STIX"/>
          <w:sz w:val="20"/>
          <w:szCs w:val="24"/>
        </w:rPr>
      </w:pPr>
    </w:p>
    <w:tbl>
      <w:tblPr>
        <w:tblW w:w="5327" w:type="dxa"/>
        <w:tblCellMar>
          <w:left w:w="0" w:type="dxa"/>
          <w:right w:w="0" w:type="dxa"/>
        </w:tblCellMar>
        <w:tblLook w:val="0000"/>
      </w:tblPr>
      <w:tblGrid>
        <w:gridCol w:w="897"/>
        <w:gridCol w:w="1552"/>
        <w:gridCol w:w="1439"/>
        <w:gridCol w:w="1439"/>
      </w:tblGrid>
      <w:tr w:rsidR="009C4918" w:rsidRPr="009C4918" w:rsidTr="00FF7247">
        <w:trPr>
          <w:trHeight w:val="131"/>
        </w:trPr>
        <w:tc>
          <w:tcPr>
            <w:tcW w:w="897" w:type="dxa"/>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rPr>
                <w:rFonts w:ascii="STIX MathJax Main" w:eastAsia="Times New Roman" w:hAnsi="STIX MathJax Main" w:cs="STIX MathJax Main"/>
                <w:b/>
                <w:sz w:val="18"/>
                <w:szCs w:val="18"/>
              </w:rPr>
            </w:pPr>
            <w:r w:rsidRPr="009C4918">
              <w:rPr>
                <w:rFonts w:ascii="STIX" w:eastAsia="Times New Roman" w:hAnsi="STIX" w:cs="STIX MathJax Main"/>
                <w:b/>
                <w:sz w:val="18"/>
                <w:szCs w:val="18"/>
              </w:rPr>
              <w:t>iteration</w:t>
            </w:r>
            <w:r w:rsidRPr="009C4918">
              <w:rPr>
                <w:rFonts w:ascii="Courier New" w:eastAsia="Times New Roman" w:hAnsi="Courier New" w:cs="STIX MathJax Main"/>
                <w:b/>
                <w:sz w:val="18"/>
                <w:szCs w:val="18"/>
              </w:rPr>
              <w:sym w:font="Symbol" w:char="F0AE"/>
            </w:r>
          </w:p>
        </w:tc>
        <w:tc>
          <w:tcPr>
            <w:tcW w:w="1552" w:type="dxa"/>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b/>
                <w:sz w:val="18"/>
                <w:szCs w:val="18"/>
              </w:rPr>
            </w:pPr>
            <w:r w:rsidRPr="009C4918">
              <w:rPr>
                <w:rFonts w:ascii="STIX" w:eastAsia="Times New Roman" w:hAnsi="STIX" w:cs="STIX MathJax Main"/>
                <w:b/>
                <w:sz w:val="18"/>
                <w:szCs w:val="18"/>
              </w:rPr>
              <w:t>1</w:t>
            </w:r>
          </w:p>
        </w:tc>
        <w:tc>
          <w:tcPr>
            <w:tcW w:w="1439" w:type="dxa"/>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b/>
                <w:sz w:val="18"/>
                <w:szCs w:val="18"/>
              </w:rPr>
            </w:pPr>
            <w:r w:rsidRPr="009C4918">
              <w:rPr>
                <w:rFonts w:ascii="STIX" w:eastAsia="Times New Roman" w:hAnsi="STIX" w:cs="STIX MathJax Main"/>
                <w:b/>
                <w:sz w:val="18"/>
                <w:szCs w:val="18"/>
              </w:rPr>
              <w:t>2</w:t>
            </w:r>
          </w:p>
        </w:tc>
        <w:tc>
          <w:tcPr>
            <w:tcW w:w="1439" w:type="dxa"/>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b/>
                <w:sz w:val="18"/>
                <w:szCs w:val="18"/>
              </w:rPr>
            </w:pPr>
            <w:r w:rsidRPr="009C4918">
              <w:rPr>
                <w:rFonts w:ascii="STIX" w:eastAsia="Times New Roman" w:hAnsi="STIX" w:cs="STIX MathJax Main"/>
                <w:b/>
                <w:sz w:val="18"/>
                <w:szCs w:val="18"/>
              </w:rPr>
              <w:t>3</w:t>
            </w:r>
          </w:p>
        </w:tc>
      </w:tr>
      <w:tr w:rsidR="009C4918" w:rsidRPr="009C4918"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rPr>
                <w:rFonts w:ascii="STIX MathJax Main" w:eastAsia="Times New Roman" w:hAnsi="STIX MathJax Main" w:cs="STIX MathJax Main"/>
                <w:b/>
                <w:sz w:val="18"/>
                <w:szCs w:val="18"/>
              </w:rPr>
            </w:pPr>
            <w:r w:rsidRPr="009C4918">
              <w:rPr>
                <w:rFonts w:ascii="Courier New" w:eastAsia="Times New Roman" w:hAnsi="Courier New" w:cs="STIX MathJax Main"/>
                <w:b/>
                <w:i/>
                <w:sz w:val="18"/>
                <w:szCs w:val="18"/>
              </w:rPr>
              <w:sym w:font="Symbol" w:char="F065"/>
            </w:r>
            <w:r w:rsidRPr="009C4918">
              <w:rPr>
                <w:rFonts w:ascii="STIX" w:eastAsia="Times New Roman" w:hAnsi="STIX" w:cs="STIX MathJax Main"/>
                <w:b/>
                <w:i/>
                <w:sz w:val="18"/>
                <w:szCs w:val="18"/>
                <w:vertAlign w:val="subscript"/>
              </w:rPr>
              <w:t>t</w:t>
            </w:r>
            <w:r w:rsidRPr="009C4918">
              <w:rPr>
                <w:rFonts w:ascii="STIX" w:eastAsia="Times New Roman" w:hAnsi="STIX" w:cs="STIX MathJax Main"/>
                <w:b/>
                <w:sz w:val="18"/>
                <w:szCs w:val="18"/>
                <w:vertAlign w:val="subscript"/>
              </w:rPr>
              <w:t xml:space="preserve"> </w:t>
            </w:r>
            <w:r w:rsidRPr="009C4918">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6.0345</w:t>
            </w:r>
            <w:r w:rsidRPr="009C4918">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0.0958</w:t>
            </w:r>
            <w:r w:rsidRPr="009C4918">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0.0028</w:t>
            </w:r>
            <w:r w:rsidRPr="009C4918">
              <w:rPr>
                <w:rFonts w:ascii="Courier New" w:eastAsia="Times New Roman" w:hAnsi="Courier New" w:cs="STIX MathJax Main"/>
                <w:sz w:val="18"/>
                <w:szCs w:val="18"/>
              </w:rPr>
              <w:t>%</w:t>
            </w:r>
          </w:p>
        </w:tc>
      </w:tr>
      <w:tr w:rsidR="009C4918" w:rsidRPr="009C4918"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rPr>
                <w:rFonts w:ascii="STIX MathJax Main" w:eastAsia="Times New Roman" w:hAnsi="STIX MathJax Main" w:cs="STIX MathJax Main"/>
                <w:b/>
                <w:sz w:val="18"/>
                <w:szCs w:val="18"/>
              </w:rPr>
            </w:pPr>
            <w:r w:rsidRPr="009C4918">
              <w:rPr>
                <w:rFonts w:ascii="Courier New" w:eastAsia="Times New Roman" w:hAnsi="Courier New" w:cs="STIX MathJax Main"/>
                <w:b/>
                <w:i/>
                <w:sz w:val="18"/>
                <w:szCs w:val="18"/>
              </w:rPr>
              <w:sym w:font="Symbol" w:char="F065"/>
            </w:r>
            <w:r w:rsidRPr="009C4918">
              <w:rPr>
                <w:rFonts w:ascii="STIX" w:eastAsia="Times New Roman" w:hAnsi="STIX" w:cs="STIX MathJax Main"/>
                <w:b/>
                <w:i/>
                <w:sz w:val="18"/>
                <w:szCs w:val="18"/>
                <w:vertAlign w:val="subscript"/>
              </w:rPr>
              <w:t>a</w:t>
            </w:r>
            <w:r w:rsidRPr="009C4918">
              <w:rPr>
                <w:rFonts w:ascii="STIX" w:eastAsia="Times New Roman" w:hAnsi="STIX" w:cs="STIX MathJax Main"/>
                <w:b/>
                <w:sz w:val="18"/>
                <w:szCs w:val="18"/>
                <w:vertAlign w:val="subscript"/>
              </w:rPr>
              <w:t xml:space="preserve"> </w:t>
            </w:r>
            <w:r w:rsidRPr="009C4918">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1.4833</w:t>
            </w:r>
            <w:r w:rsidRPr="009C4918">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0.0058</w:t>
            </w:r>
            <w:r w:rsidRPr="009C4918">
              <w:rPr>
                <w:rFonts w:ascii="Courier New" w:eastAsia="Times New Roman" w:hAnsi="Courier New" w:cs="STIX MathJax Main"/>
                <w:sz w:val="18"/>
                <w:szCs w:val="18"/>
              </w:rPr>
              <w:t>%</w:t>
            </w:r>
          </w:p>
        </w:tc>
      </w:tr>
      <w:tr w:rsidR="009C4918" w:rsidRPr="009C4918"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1</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5.12500000</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4.83796296</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4.83347014</w:t>
            </w:r>
          </w:p>
        </w:tc>
      </w:tr>
      <w:tr w:rsidR="009C4918" w:rsidRPr="009C4918"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2</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4.90972222</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4.83375094</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p>
        </w:tc>
      </w:tr>
      <w:tr w:rsidR="009C4918" w:rsidRPr="009C4918" w:rsidTr="00FF7247">
        <w:trPr>
          <w:trHeight w:val="131"/>
        </w:trPr>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r w:rsidRPr="009C4918">
              <w:rPr>
                <w:rFonts w:ascii="STIX" w:eastAsia="Times New Roman" w:hAnsi="STIX" w:cs="STIX MathJax Main"/>
                <w:sz w:val="18"/>
                <w:szCs w:val="18"/>
              </w:rPr>
              <w:t>4.85274376</w:t>
            </w: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9C4918" w:rsidRPr="009C4918" w:rsidRDefault="009C4918" w:rsidP="009C4918">
            <w:pPr>
              <w:spacing w:after="0" w:line="240" w:lineRule="auto"/>
              <w:jc w:val="center"/>
              <w:rPr>
                <w:rFonts w:ascii="STIX MathJax Main" w:eastAsia="Times New Roman" w:hAnsi="STIX MathJax Main" w:cs="STIX MathJax Main"/>
                <w:sz w:val="18"/>
                <w:szCs w:val="18"/>
              </w:rPr>
            </w:pPr>
          </w:p>
        </w:tc>
      </w:tr>
    </w:tbl>
    <w:p w:rsidR="009C4918" w:rsidRPr="009C4918" w:rsidRDefault="009C4918" w:rsidP="009C4918">
      <w:pPr>
        <w:spacing w:after="0" w:line="240" w:lineRule="auto"/>
        <w:rPr>
          <w:rFonts w:ascii="STIX" w:eastAsia="Times New Roman" w:hAnsi="STIX"/>
          <w:sz w:val="20"/>
          <w:szCs w:val="24"/>
        </w:rPr>
      </w:pPr>
    </w:p>
    <w:p w:rsidR="009C4918" w:rsidRPr="009C4918" w:rsidRDefault="009C4918" w:rsidP="009C4918">
      <w:pPr>
        <w:spacing w:after="0" w:line="240" w:lineRule="auto"/>
        <w:rPr>
          <w:rFonts w:ascii="STIX" w:eastAsia="Times New Roman" w:hAnsi="STIX"/>
          <w:sz w:val="20"/>
          <w:szCs w:val="24"/>
        </w:rPr>
      </w:pPr>
      <w:r w:rsidRPr="009C4918">
        <w:rPr>
          <w:rFonts w:ascii="STIX" w:eastAsia="Times New Roman" w:hAnsi="STIX"/>
          <w:sz w:val="20"/>
          <w:szCs w:val="24"/>
        </w:rPr>
        <w:t>Thus, the result is 4.83347014.</w:t>
      </w:r>
    </w:p>
    <w:p w:rsidR="00BC0028" w:rsidRPr="00600E9B" w:rsidRDefault="00BC0028" w:rsidP="00FB211C">
      <w:pPr>
        <w:autoSpaceDE w:val="0"/>
        <w:autoSpaceDN w:val="0"/>
        <w:adjustRightInd w:val="0"/>
        <w:spacing w:after="0" w:line="240" w:lineRule="auto"/>
        <w:rPr>
          <w:rFonts w:ascii="Courier New" w:eastAsia="Times New Roman" w:hAnsi="Courier New" w:cs="Courier New"/>
          <w:sz w:val="18"/>
          <w:szCs w:val="24"/>
        </w:rPr>
      </w:pPr>
    </w:p>
    <w:sectPr w:rsidR="00BC0028" w:rsidRPr="00600E9B"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FAE39-3813-4141-9441-7142DDFE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328</Characters>
  <Application>Microsoft Office Word</Application>
  <DocSecurity>0</DocSecurity>
  <Lines>2</Lines>
  <Paragraphs>1</Paragraphs>
  <ScaleCrop>false</ScaleCrop>
  <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2017-03-31T17:37:00Z</dcterms:created>
  <dcterms:modified xsi:type="dcterms:W3CDTF">2017-03-31T17:37:00Z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