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4F39A2">
        <w:rPr>
          <w:b/>
          <w:noProof/>
          <w:sz w:val="20"/>
          <w:szCs w:val="20"/>
        </w:rPr>
        <w:t>20.6</w:t>
      </w:r>
    </w:p>
    <w:p w:rsidR="00600E9B" w:rsidRDefault="00600E9B" w:rsidP="00082243">
      <w:pPr>
        <w:spacing w:after="0" w:line="240" w:lineRule="auto"/>
        <w:rPr>
          <w:rFonts w:ascii="Courier New" w:eastAsia="Times New Roman" w:hAnsi="Courier New" w:cs="Courier New"/>
          <w:color w:val="000000"/>
          <w:sz w:val="18"/>
          <w:szCs w:val="26"/>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The integral to be evaluated is</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cs="STIX MathJax Main"/>
          <w:sz w:val="20"/>
          <w:szCs w:val="24"/>
        </w:rPr>
      </w:pPr>
      <w:r w:rsidRPr="004F39A2">
        <w:rPr>
          <w:rFonts w:ascii="STIX" w:eastAsia="Times New Roman" w:hAnsi="STIX" w:cs="STIX MathJax Main"/>
          <w:position w:val="-18"/>
          <w:szCs w:val="24"/>
        </w:rPr>
        <w:object w:dxaOrig="23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64" type="#_x0000_t75" style="width:116.25pt;height:26.25pt" o:ole="">
            <v:imagedata r:id="rId8" o:title=""/>
          </v:shape>
          <o:OLEObject Type="Embed" ProgID="Equation.DSMT4" ShapeID="_x0000_i2864" DrawAspect="Content" ObjectID="_1552480237" r:id="rId9"/>
        </w:objec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Note that although it is not necessary, the integral can be evaluated analytically to yield</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Times New Roman" w:eastAsia="Times New Roman" w:hAnsi="Times New Roman"/>
          <w:position w:val="-34"/>
          <w:szCs w:val="24"/>
        </w:rPr>
        <w:object w:dxaOrig="4580" w:dyaOrig="840">
          <v:shape id="_x0000_i2865" type="#_x0000_t75" style="width:228.75pt;height:42pt" o:ole="">
            <v:imagedata r:id="rId10" o:title=""/>
          </v:shape>
          <o:OLEObject Type="Embed" ProgID="Equation.DSMT4" ShapeID="_x0000_i2865" DrawAspect="Content" ObjectID="_1552480238" r:id="rId11"/>
        </w:objec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 xml:space="preserve">which can be evaluated as 9.86406915. Therefore, the </w:t>
      </w:r>
      <w:r w:rsidRPr="004F39A2">
        <w:rPr>
          <w:rFonts w:ascii="STIX" w:eastAsia="Times New Roman" w:hAnsi="STIX"/>
          <w:i/>
          <w:sz w:val="20"/>
          <w:szCs w:val="24"/>
        </w:rPr>
        <w:t>I</w:t>
      </w:r>
      <w:r w:rsidRPr="004F39A2">
        <w:rPr>
          <w:rFonts w:ascii="STIX" w:eastAsia="Times New Roman" w:hAnsi="STIX"/>
          <w:i/>
          <w:sz w:val="20"/>
          <w:szCs w:val="24"/>
          <w:vertAlign w:val="subscript"/>
        </w:rPr>
        <w:t>RMS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3.14071157. </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b/>
          <w:sz w:val="20"/>
          <w:szCs w:val="24"/>
        </w:rPr>
        <w:t>(a)</w:t>
      </w:r>
      <w:r w:rsidRPr="004F39A2">
        <w:rPr>
          <w:rFonts w:ascii="STIX" w:eastAsia="Times New Roman" w:hAnsi="STIX"/>
          <w:sz w:val="20"/>
          <w:szCs w:val="24"/>
        </w:rPr>
        <w:t xml:space="preserve"> The tableau depicting the implementation of Romberg integration to </w:t>
      </w:r>
      <w:r w:rsidRPr="004F39A2">
        <w:rPr>
          <w:rFonts w:ascii="Courier New" w:eastAsia="Times New Roman" w:hAnsi="Courier New"/>
          <w:i/>
          <w:sz w:val="20"/>
          <w:szCs w:val="24"/>
        </w:rPr>
        <w:sym w:font="Symbol" w:char="F065"/>
      </w:r>
      <w:r w:rsidRPr="004F39A2">
        <w:rPr>
          <w:rFonts w:ascii="STIX" w:eastAsia="Times New Roman" w:hAnsi="STIX"/>
          <w:i/>
          <w:sz w:val="20"/>
          <w:szCs w:val="24"/>
          <w:vertAlign w:val="subscript"/>
        </w:rPr>
        <w:t>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0.1</w:t>
      </w:r>
      <w:r w:rsidRPr="004F39A2">
        <w:rPr>
          <w:rFonts w:ascii="Courier New" w:eastAsia="Times New Roman" w:hAnsi="Courier New"/>
          <w:sz w:val="20"/>
          <w:szCs w:val="24"/>
        </w:rPr>
        <w:t>%</w:t>
      </w:r>
      <w:r w:rsidRPr="004F39A2">
        <w:rPr>
          <w:rFonts w:ascii="STIX" w:eastAsia="Times New Roman" w:hAnsi="STIX"/>
          <w:sz w:val="20"/>
          <w:szCs w:val="24"/>
        </w:rPr>
        <w:t xml:space="preserve"> is</w:t>
      </w:r>
    </w:p>
    <w:p w:rsidR="004F39A2" w:rsidRPr="004F39A2" w:rsidRDefault="004F39A2" w:rsidP="004F39A2">
      <w:pPr>
        <w:spacing w:after="0" w:line="240" w:lineRule="auto"/>
        <w:rPr>
          <w:rFonts w:ascii="STIX" w:eastAsia="Times New Roman" w:hAnsi="STIX"/>
          <w:b/>
          <w:sz w:val="20"/>
          <w:szCs w:val="24"/>
        </w:rPr>
      </w:pPr>
    </w:p>
    <w:tbl>
      <w:tblPr>
        <w:tblW w:w="6892" w:type="dxa"/>
        <w:tblCellMar>
          <w:left w:w="0" w:type="dxa"/>
          <w:right w:w="0" w:type="dxa"/>
        </w:tblCellMar>
        <w:tblLook w:val="0000"/>
      </w:tblPr>
      <w:tblGrid>
        <w:gridCol w:w="914"/>
        <w:gridCol w:w="1580"/>
        <w:gridCol w:w="1466"/>
        <w:gridCol w:w="1466"/>
        <w:gridCol w:w="1466"/>
      </w:tblGrid>
      <w:tr w:rsidR="004F39A2" w:rsidRPr="004F39A2" w:rsidTr="00FF7247">
        <w:trPr>
          <w:trHeight w:val="132"/>
        </w:trPr>
        <w:tc>
          <w:tcPr>
            <w:tcW w:w="914"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rPr>
                <w:rFonts w:ascii="STIX MathJax Main" w:eastAsia="Times New Roman" w:hAnsi="STIX MathJax Main" w:cs="STIX MathJax Main"/>
                <w:b/>
                <w:sz w:val="18"/>
                <w:szCs w:val="18"/>
              </w:rPr>
            </w:pPr>
            <w:r w:rsidRPr="004F39A2">
              <w:rPr>
                <w:rFonts w:ascii="STIX" w:eastAsia="Times New Roman" w:hAnsi="STIX" w:cs="STIX MathJax Main"/>
                <w:b/>
                <w:sz w:val="18"/>
                <w:szCs w:val="18"/>
              </w:rPr>
              <w:t xml:space="preserve">iteration </w:t>
            </w:r>
            <w:r w:rsidRPr="004F39A2">
              <w:rPr>
                <w:rFonts w:ascii="Courier New" w:eastAsia="Times New Roman" w:hAnsi="Courier New" w:cs="STIX MathJax Main"/>
                <w:b/>
                <w:sz w:val="18"/>
                <w:szCs w:val="18"/>
              </w:rPr>
              <w:sym w:font="Symbol" w:char="F0AE"/>
            </w:r>
          </w:p>
        </w:tc>
        <w:tc>
          <w:tcPr>
            <w:tcW w:w="1580" w:type="dxa"/>
            <w:tcBorders>
              <w:top w:val="nil"/>
              <w:left w:val="nil"/>
              <w:bottom w:val="nil"/>
              <w:right w:val="nil"/>
            </w:tcBorders>
            <w:noWrap/>
            <w:tcMar>
              <w:top w:w="15" w:type="dxa"/>
              <w:left w:w="15" w:type="dxa"/>
              <w:bottom w:w="0" w:type="dxa"/>
              <w:right w:w="15" w:type="dxa"/>
            </w:tcMar>
            <w:vAlign w:val="bottom"/>
          </w:tcPr>
          <w:p w:rsidR="004F39A2" w:rsidRPr="004F39A2" w:rsidRDefault="004F39A2" w:rsidP="004F39A2">
            <w:pPr>
              <w:spacing w:after="0" w:line="240" w:lineRule="auto"/>
              <w:jc w:val="center"/>
              <w:rPr>
                <w:rFonts w:ascii="STIX MathJax Main" w:eastAsia="Times New Roman" w:hAnsi="STIX MathJax Main" w:cs="STIX MathJax Main"/>
                <w:b/>
                <w:sz w:val="18"/>
                <w:szCs w:val="18"/>
              </w:rPr>
            </w:pPr>
            <w:r w:rsidRPr="004F39A2">
              <w:rPr>
                <w:rFonts w:ascii="STIX" w:eastAsia="Times New Roman" w:hAnsi="STIX" w:cs="STIX MathJax Main"/>
                <w:b/>
                <w:sz w:val="18"/>
                <w:szCs w:val="18"/>
              </w:rPr>
              <w:t>1</w:t>
            </w:r>
          </w:p>
        </w:tc>
        <w:tc>
          <w:tcPr>
            <w:tcW w:w="1466" w:type="dxa"/>
            <w:tcBorders>
              <w:top w:val="nil"/>
              <w:left w:val="nil"/>
              <w:bottom w:val="nil"/>
              <w:right w:val="nil"/>
            </w:tcBorders>
            <w:noWrap/>
            <w:tcMar>
              <w:top w:w="15" w:type="dxa"/>
              <w:left w:w="15" w:type="dxa"/>
              <w:bottom w:w="0" w:type="dxa"/>
              <w:right w:w="15" w:type="dxa"/>
            </w:tcMar>
            <w:vAlign w:val="bottom"/>
          </w:tcPr>
          <w:p w:rsidR="004F39A2" w:rsidRPr="004F39A2" w:rsidRDefault="004F39A2" w:rsidP="004F39A2">
            <w:pPr>
              <w:spacing w:after="0" w:line="240" w:lineRule="auto"/>
              <w:jc w:val="center"/>
              <w:rPr>
                <w:rFonts w:ascii="STIX MathJax Main" w:eastAsia="Times New Roman" w:hAnsi="STIX MathJax Main" w:cs="STIX MathJax Main"/>
                <w:b/>
                <w:sz w:val="18"/>
                <w:szCs w:val="18"/>
              </w:rPr>
            </w:pPr>
            <w:r w:rsidRPr="004F39A2">
              <w:rPr>
                <w:rFonts w:ascii="STIX" w:eastAsia="Times New Roman" w:hAnsi="STIX" w:cs="STIX MathJax Main"/>
                <w:b/>
                <w:sz w:val="18"/>
                <w:szCs w:val="18"/>
              </w:rPr>
              <w:t>2</w:t>
            </w:r>
          </w:p>
        </w:tc>
        <w:tc>
          <w:tcPr>
            <w:tcW w:w="1466" w:type="dxa"/>
            <w:tcBorders>
              <w:top w:val="nil"/>
              <w:left w:val="nil"/>
              <w:bottom w:val="nil"/>
              <w:right w:val="nil"/>
            </w:tcBorders>
            <w:noWrap/>
            <w:tcMar>
              <w:top w:w="15" w:type="dxa"/>
              <w:left w:w="15" w:type="dxa"/>
              <w:bottom w:w="0" w:type="dxa"/>
              <w:right w:w="15" w:type="dxa"/>
            </w:tcMar>
            <w:vAlign w:val="bottom"/>
          </w:tcPr>
          <w:p w:rsidR="004F39A2" w:rsidRPr="004F39A2" w:rsidRDefault="004F39A2" w:rsidP="004F39A2">
            <w:pPr>
              <w:spacing w:after="0" w:line="240" w:lineRule="auto"/>
              <w:jc w:val="center"/>
              <w:rPr>
                <w:rFonts w:ascii="STIX MathJax Main" w:eastAsia="Times New Roman" w:hAnsi="STIX MathJax Main" w:cs="STIX MathJax Main"/>
                <w:b/>
                <w:sz w:val="18"/>
                <w:szCs w:val="18"/>
              </w:rPr>
            </w:pPr>
            <w:r w:rsidRPr="004F39A2">
              <w:rPr>
                <w:rFonts w:ascii="STIX" w:eastAsia="Times New Roman" w:hAnsi="STIX" w:cs="STIX MathJax Main"/>
                <w:b/>
                <w:sz w:val="18"/>
                <w:szCs w:val="18"/>
              </w:rPr>
              <w:t>3</w:t>
            </w:r>
          </w:p>
        </w:tc>
        <w:tc>
          <w:tcPr>
            <w:tcW w:w="1466" w:type="dxa"/>
            <w:tcBorders>
              <w:top w:val="nil"/>
              <w:left w:val="nil"/>
              <w:bottom w:val="nil"/>
              <w:right w:val="nil"/>
            </w:tcBorders>
            <w:noWrap/>
            <w:tcMar>
              <w:top w:w="15" w:type="dxa"/>
              <w:left w:w="15" w:type="dxa"/>
              <w:bottom w:w="0" w:type="dxa"/>
              <w:right w:w="15" w:type="dxa"/>
            </w:tcMar>
            <w:vAlign w:val="bottom"/>
          </w:tcPr>
          <w:p w:rsidR="004F39A2" w:rsidRPr="004F39A2" w:rsidRDefault="004F39A2" w:rsidP="004F39A2">
            <w:pPr>
              <w:spacing w:after="0" w:line="240" w:lineRule="auto"/>
              <w:jc w:val="center"/>
              <w:rPr>
                <w:rFonts w:ascii="STIX MathJax Main" w:eastAsia="Times New Roman" w:hAnsi="STIX MathJax Main" w:cs="STIX MathJax Main"/>
                <w:b/>
                <w:sz w:val="18"/>
                <w:szCs w:val="18"/>
              </w:rPr>
            </w:pPr>
            <w:r w:rsidRPr="004F39A2">
              <w:rPr>
                <w:rFonts w:ascii="STIX" w:eastAsia="Times New Roman" w:hAnsi="STIX" w:cs="STIX MathJax Main"/>
                <w:b/>
                <w:sz w:val="18"/>
                <w:szCs w:val="18"/>
              </w:rPr>
              <w:t>4</w:t>
            </w:r>
          </w:p>
        </w:tc>
      </w:tr>
      <w:tr w:rsidR="004F39A2" w:rsidRPr="004F39A2" w:rsidTr="00FF7247">
        <w:trPr>
          <w:trHeight w:val="132"/>
        </w:trPr>
        <w:tc>
          <w:tcPr>
            <w:tcW w:w="914"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rPr>
                <w:rFonts w:ascii="STIX MathJax Main" w:eastAsia="Times New Roman" w:hAnsi="STIX MathJax Main" w:cs="STIX MathJax Main"/>
                <w:b/>
                <w:sz w:val="18"/>
                <w:szCs w:val="18"/>
              </w:rPr>
            </w:pPr>
            <w:r w:rsidRPr="004F39A2">
              <w:rPr>
                <w:rFonts w:ascii="Courier New" w:eastAsia="Times New Roman" w:hAnsi="Courier New"/>
                <w:b/>
                <w:i/>
                <w:sz w:val="18"/>
                <w:szCs w:val="18"/>
              </w:rPr>
              <w:sym w:font="Symbol" w:char="F065"/>
            </w:r>
            <w:r w:rsidRPr="004F39A2">
              <w:rPr>
                <w:rFonts w:ascii="STIX" w:eastAsia="Times New Roman" w:hAnsi="STIX" w:cs="STIX MathJax Main"/>
                <w:b/>
                <w:i/>
                <w:sz w:val="18"/>
                <w:szCs w:val="18"/>
                <w:vertAlign w:val="subscript"/>
              </w:rPr>
              <w:t>t</w:t>
            </w:r>
            <w:r w:rsidRPr="004F39A2">
              <w:rPr>
                <w:rFonts w:ascii="STIX" w:eastAsia="Times New Roman" w:hAnsi="STIX" w:cs="STIX MathJax Main"/>
                <w:b/>
                <w:sz w:val="18"/>
                <w:szCs w:val="18"/>
                <w:vertAlign w:val="subscript"/>
              </w:rPr>
              <w:t xml:space="preserve"> </w:t>
            </w:r>
            <w:r w:rsidRPr="004F39A2">
              <w:rPr>
                <w:rFonts w:ascii="Courier New" w:eastAsia="Times New Roman" w:hAnsi="Courier New" w:cs="STIX MathJax Main"/>
                <w:b/>
                <w:sz w:val="18"/>
                <w:szCs w:val="18"/>
              </w:rPr>
              <w:sym w:font="Symbol" w:char="F0AE"/>
            </w:r>
          </w:p>
        </w:tc>
        <w:tc>
          <w:tcPr>
            <w:tcW w:w="1580"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100.0000</w:t>
            </w:r>
            <w:r w:rsidRPr="004F39A2">
              <w:rPr>
                <w:rFonts w:ascii="Courier New" w:eastAsia="Times New Roman" w:hAnsi="Courier New" w:cs="STIX MathJax Main"/>
                <w:sz w:val="18"/>
                <w:szCs w:val="18"/>
              </w:rPr>
              <w:t>%</w:t>
            </w:r>
          </w:p>
        </w:tc>
        <w:tc>
          <w:tcPr>
            <w:tcW w:w="1466"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31.1763</w:t>
            </w:r>
            <w:r w:rsidRPr="004F39A2">
              <w:rPr>
                <w:rFonts w:ascii="Courier New" w:eastAsia="Times New Roman" w:hAnsi="Courier New" w:cs="STIX MathJax Main"/>
                <w:sz w:val="18"/>
                <w:szCs w:val="18"/>
              </w:rPr>
              <w:t>%</w:t>
            </w:r>
          </w:p>
        </w:tc>
        <w:tc>
          <w:tcPr>
            <w:tcW w:w="1466"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1.6064</w:t>
            </w:r>
            <w:r w:rsidRPr="004F39A2">
              <w:rPr>
                <w:rFonts w:ascii="Courier New" w:eastAsia="Times New Roman" w:hAnsi="Courier New" w:cs="STIX MathJax Main"/>
                <w:sz w:val="18"/>
                <w:szCs w:val="18"/>
              </w:rPr>
              <w:t>%</w:t>
            </w:r>
          </w:p>
        </w:tc>
        <w:tc>
          <w:tcPr>
            <w:tcW w:w="1466" w:type="dxa"/>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0.0156</w:t>
            </w:r>
            <w:r w:rsidRPr="004F39A2">
              <w:rPr>
                <w:rFonts w:ascii="Courier New" w:eastAsia="Times New Roman" w:hAnsi="Courier New" w:cs="STIX MathJax Main"/>
                <w:sz w:val="18"/>
                <w:szCs w:val="18"/>
              </w:rPr>
              <w:t>%</w:t>
            </w:r>
          </w:p>
        </w:tc>
      </w:tr>
      <w:tr w:rsidR="004F39A2" w:rsidRPr="004F39A2" w:rsidTr="00FF7247">
        <w:trPr>
          <w:trHeight w:val="132"/>
        </w:trPr>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rPr>
                <w:rFonts w:ascii="STIX MathJax Main" w:eastAsia="Times New Roman" w:hAnsi="STIX MathJax Main" w:cs="STIX MathJax Main"/>
                <w:b/>
                <w:sz w:val="18"/>
                <w:szCs w:val="18"/>
              </w:rPr>
            </w:pPr>
            <w:r w:rsidRPr="004F39A2">
              <w:rPr>
                <w:rFonts w:ascii="Courier New" w:eastAsia="Times New Roman" w:hAnsi="Courier New"/>
                <w:b/>
                <w:i/>
                <w:sz w:val="18"/>
                <w:szCs w:val="18"/>
              </w:rPr>
              <w:sym w:font="Symbol" w:char="F065"/>
            </w:r>
            <w:r w:rsidRPr="004F39A2">
              <w:rPr>
                <w:rFonts w:ascii="STIX" w:eastAsia="Times New Roman" w:hAnsi="STIX" w:cs="STIX MathJax Main"/>
                <w:b/>
                <w:i/>
                <w:sz w:val="18"/>
                <w:szCs w:val="18"/>
                <w:vertAlign w:val="subscript"/>
              </w:rPr>
              <w:t>a</w:t>
            </w:r>
            <w:r w:rsidRPr="004F39A2">
              <w:rPr>
                <w:rFonts w:ascii="STIX" w:eastAsia="Times New Roman" w:hAnsi="STIX" w:cs="STIX MathJax Main"/>
                <w:b/>
                <w:sz w:val="18"/>
                <w:szCs w:val="18"/>
                <w:vertAlign w:val="subscript"/>
              </w:rPr>
              <w:t xml:space="preserve"> </w:t>
            </w:r>
            <w:r w:rsidRPr="004F39A2">
              <w:rPr>
                <w:rFonts w:ascii="Courier New" w:eastAsia="Times New Roman" w:hAnsi="Courier New" w:cs="STIX MathJax Main"/>
                <w:b/>
                <w:sz w:val="18"/>
                <w:szCs w:val="18"/>
              </w:rPr>
              <w:sym w:font="Symbol" w:char="F0AE"/>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25.0000</w:t>
            </w:r>
            <w:r w:rsidRPr="004F39A2">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2.0824</w:t>
            </w:r>
            <w:r w:rsidRPr="004F39A2">
              <w:rPr>
                <w:rFonts w:ascii="Courier New" w:eastAsia="Times New Roman" w:hAnsi="Courier New" w:cs="STIX MathJax Main"/>
                <w:sz w:val="18"/>
                <w:szCs w:val="18"/>
              </w:rPr>
              <w:t>%</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0.0253398</w:t>
            </w:r>
            <w:r w:rsidRPr="004F39A2">
              <w:rPr>
                <w:rFonts w:ascii="Courier New" w:eastAsia="Times New Roman" w:hAnsi="Courier New" w:cs="STIX MathJax Main"/>
                <w:sz w:val="18"/>
                <w:szCs w:val="18"/>
              </w:rPr>
              <w:t>%</w:t>
            </w:r>
          </w:p>
        </w:tc>
      </w:tr>
      <w:tr w:rsidR="004F39A2" w:rsidRPr="004F39A2" w:rsidTr="00FF7247">
        <w:trPr>
          <w:trHeight w:val="132"/>
        </w:trPr>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1</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0.00000000</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12.93932074</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9.70561610</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9.86561132</w:t>
            </w:r>
          </w:p>
        </w:tc>
      </w:tr>
      <w:tr w:rsidR="004F39A2" w:rsidRPr="004F39A2" w:rsidTr="00FF7247">
        <w:trPr>
          <w:trHeight w:val="132"/>
        </w:trPr>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2</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9.70449056</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9.90772264</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9.86311139</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r>
      <w:tr w:rsidR="004F39A2" w:rsidRPr="004F39A2" w:rsidTr="00FF7247">
        <w:trPr>
          <w:trHeight w:val="132"/>
        </w:trPr>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4</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9.85691462</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9.86589959</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r>
      <w:tr w:rsidR="004F39A2" w:rsidRPr="004F39A2" w:rsidTr="00FF7247">
        <w:trPr>
          <w:trHeight w:val="132"/>
        </w:trPr>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8</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r w:rsidRPr="004F39A2">
              <w:rPr>
                <w:rFonts w:ascii="STIX" w:eastAsia="Times New Roman" w:hAnsi="STIX" w:cs="STIX MathJax Main"/>
                <w:sz w:val="18"/>
                <w:szCs w:val="18"/>
              </w:rPr>
              <w:t>9.86365335</w:t>
            </w: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nil"/>
              <w:right w:val="nil"/>
            </w:tcBorders>
            <w:noWrap/>
            <w:tcMar>
              <w:top w:w="15" w:type="dxa"/>
              <w:left w:w="15" w:type="dxa"/>
              <w:bottom w:w="0" w:type="dxa"/>
              <w:right w:w="15" w:type="dxa"/>
            </w:tcMar>
            <w:vAlign w:val="center"/>
          </w:tcPr>
          <w:p w:rsidR="004F39A2" w:rsidRPr="004F39A2" w:rsidRDefault="004F39A2" w:rsidP="004F39A2">
            <w:pPr>
              <w:spacing w:after="0" w:line="240" w:lineRule="auto"/>
              <w:jc w:val="center"/>
              <w:rPr>
                <w:rFonts w:ascii="STIX MathJax Main" w:eastAsia="Times New Roman" w:hAnsi="STIX MathJax Main" w:cs="STIX MathJax Main"/>
                <w:sz w:val="18"/>
                <w:szCs w:val="18"/>
              </w:rPr>
            </w:pPr>
          </w:p>
        </w:tc>
      </w:tr>
    </w:tbl>
    <w:p w:rsidR="004F39A2" w:rsidRPr="004F39A2" w:rsidRDefault="004F39A2" w:rsidP="004F39A2">
      <w:pPr>
        <w:spacing w:after="0" w:line="240" w:lineRule="auto"/>
        <w:rPr>
          <w:rFonts w:ascii="STIX" w:eastAsia="Times New Roman" w:hAnsi="STIX"/>
          <w:b/>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 xml:space="preserve">Therefore, the </w:t>
      </w:r>
      <w:r w:rsidRPr="004F39A2">
        <w:rPr>
          <w:rFonts w:ascii="STIX" w:eastAsia="Times New Roman" w:hAnsi="STIX"/>
          <w:i/>
          <w:sz w:val="20"/>
          <w:szCs w:val="24"/>
        </w:rPr>
        <w:t>I</w:t>
      </w:r>
      <w:r w:rsidRPr="004F39A2">
        <w:rPr>
          <w:rFonts w:ascii="STIX" w:eastAsia="Times New Roman" w:hAnsi="STIX"/>
          <w:i/>
          <w:sz w:val="20"/>
          <w:szCs w:val="24"/>
          <w:vertAlign w:val="subscript"/>
        </w:rPr>
        <w:t>RMS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3.14095707.</w:t>
      </w:r>
    </w:p>
    <w:p w:rsidR="004F39A2" w:rsidRPr="004F39A2" w:rsidRDefault="004F39A2" w:rsidP="004F39A2">
      <w:pPr>
        <w:spacing w:after="0" w:line="240" w:lineRule="auto"/>
        <w:rPr>
          <w:rFonts w:ascii="STIX" w:eastAsia="Times New Roman" w:hAnsi="STIX"/>
          <w:b/>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b/>
          <w:sz w:val="20"/>
          <w:szCs w:val="24"/>
        </w:rPr>
        <w:t>(b)</w:t>
      </w:r>
      <w:r w:rsidRPr="004F39A2">
        <w:rPr>
          <w:rFonts w:ascii="STIX" w:eastAsia="Times New Roman" w:hAnsi="STIX"/>
          <w:sz w:val="20"/>
          <w:szCs w:val="24"/>
        </w:rPr>
        <w:t xml:space="preserve"> The transformations can be computed as</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cs="STIX MathJax Main"/>
          <w:position w:val="-24"/>
          <w:szCs w:val="24"/>
        </w:rPr>
        <w:object w:dxaOrig="7339" w:dyaOrig="660">
          <v:shape id="_x0000_i2866" type="#_x0000_t75" style="width:366.75pt;height:33pt" o:ole="">
            <v:imagedata r:id="rId12" o:title=""/>
          </v:shape>
          <o:OLEObject Type="Embed" ProgID="Equation.DSMT4" ShapeID="_x0000_i2866" DrawAspect="Content" ObjectID="_1552480239" r:id="rId13"/>
        </w:objec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These can be substituted to yield</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cs="STIX MathJax Main"/>
          <w:position w:val="-18"/>
          <w:szCs w:val="24"/>
        </w:rPr>
        <w:object w:dxaOrig="5200" w:dyaOrig="540">
          <v:shape id="_x0000_i2867" type="#_x0000_t75" style="width:260.25pt;height:27pt" o:ole="">
            <v:imagedata r:id="rId14" o:title=""/>
          </v:shape>
          <o:OLEObject Type="Embed" ProgID="Equation.DSMT4" ShapeID="_x0000_i2867" DrawAspect="Content" ObjectID="_1552480240" r:id="rId15"/>
        </w:object>
      </w:r>
    </w:p>
    <w:p w:rsidR="004F39A2" w:rsidRPr="004F39A2" w:rsidRDefault="004F39A2" w:rsidP="004F39A2">
      <w:pPr>
        <w:spacing w:after="0" w:line="240" w:lineRule="auto"/>
        <w:rPr>
          <w:rFonts w:ascii="STIX" w:eastAsia="Times New Roman" w:hAnsi="STIX"/>
          <w:sz w:val="20"/>
          <w:szCs w:val="24"/>
        </w:rPr>
      </w:pPr>
    </w:p>
    <w:p w:rsidR="004F39A2" w:rsidRDefault="004F39A2" w:rsidP="004F39A2">
      <w:pPr>
        <w:spacing w:after="0" w:line="240" w:lineRule="auto"/>
        <w:rPr>
          <w:rFonts w:ascii="STIX" w:hAnsi="STIX" w:cs="STIX"/>
          <w:i/>
          <w:sz w:val="20"/>
          <w:szCs w:val="20"/>
        </w:rPr>
      </w:pPr>
    </w:p>
    <w:p w:rsidR="004F39A2" w:rsidRDefault="004F39A2" w:rsidP="004F39A2">
      <w:pPr>
        <w:spacing w:after="0" w:line="240" w:lineRule="auto"/>
        <w:rPr>
          <w:rFonts w:ascii="STIX" w:hAnsi="STIX" w:cs="STIX"/>
          <w:i/>
          <w:sz w:val="20"/>
          <w:szCs w:val="20"/>
        </w:rPr>
      </w:pPr>
    </w:p>
    <w:p w:rsidR="004F39A2" w:rsidRDefault="004F39A2" w:rsidP="004F39A2">
      <w:pPr>
        <w:spacing w:after="0" w:line="240" w:lineRule="auto"/>
        <w:rPr>
          <w:rFonts w:ascii="STIX" w:hAnsi="STIX" w:cs="STIX"/>
          <w:i/>
          <w:sz w:val="20"/>
          <w:szCs w:val="20"/>
        </w:rPr>
        <w:sectPr w:rsidR="004F39A2"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For the two-point application, the transformed function can be evaluated using the values from Table 20.1</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Times New Roman" w:eastAsia="Times New Roman" w:hAnsi="Times New Roman"/>
          <w:position w:val="-10"/>
          <w:szCs w:val="24"/>
        </w:rPr>
        <w:object w:dxaOrig="5120" w:dyaOrig="320">
          <v:shape id="_x0000_i2868" type="#_x0000_t75" style="width:255.75pt;height:15.75pt" o:ole="">
            <v:imagedata r:id="rId17" o:title=""/>
          </v:shape>
          <o:OLEObject Type="Embed" ProgID="Equation.DSMT4" ShapeID="_x0000_i2868" DrawAspect="Content" ObjectID="_1552480241" r:id="rId18"/>
        </w:objec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 xml:space="preserve">or an </w:t>
      </w:r>
      <w:r w:rsidRPr="004F39A2">
        <w:rPr>
          <w:rFonts w:ascii="STIX" w:eastAsia="Times New Roman" w:hAnsi="STIX"/>
          <w:i/>
          <w:sz w:val="20"/>
          <w:szCs w:val="24"/>
        </w:rPr>
        <w:t>I</w:t>
      </w:r>
      <w:r w:rsidRPr="004F39A2">
        <w:rPr>
          <w:rFonts w:ascii="STIX" w:eastAsia="Times New Roman" w:hAnsi="STIX"/>
          <w:i/>
          <w:sz w:val="20"/>
          <w:szCs w:val="24"/>
          <w:vertAlign w:val="subscript"/>
        </w:rPr>
        <w:t>RMS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2.77103.</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For the three-point application, the transformed function can be evaluated using the values from Table 20.1</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cs="STIX MathJax Main"/>
          <w:position w:val="-10"/>
          <w:szCs w:val="24"/>
        </w:rPr>
        <w:object w:dxaOrig="8720" w:dyaOrig="320">
          <v:shape id="_x0000_i2869" type="#_x0000_t75" style="width:435.75pt;height:15.75pt" o:ole="">
            <v:imagedata r:id="rId19" o:title=""/>
          </v:shape>
          <o:OLEObject Type="Embed" ProgID="Equation.DSMT4" ShapeID="_x0000_i2869" DrawAspect="Content" ObjectID="_1552480242" r:id="rId20"/>
        </w:objec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sz w:val="20"/>
          <w:szCs w:val="24"/>
        </w:rPr>
      </w:pPr>
      <w:r w:rsidRPr="004F39A2">
        <w:rPr>
          <w:rFonts w:ascii="STIX" w:eastAsia="Times New Roman" w:hAnsi="STIX"/>
          <w:sz w:val="20"/>
          <w:szCs w:val="24"/>
        </w:rPr>
        <w:t xml:space="preserve">or an </w:t>
      </w:r>
      <w:r w:rsidRPr="004F39A2">
        <w:rPr>
          <w:rFonts w:ascii="STIX" w:eastAsia="Times New Roman" w:hAnsi="STIX"/>
          <w:i/>
          <w:sz w:val="20"/>
          <w:szCs w:val="24"/>
        </w:rPr>
        <w:t>I</w:t>
      </w:r>
      <w:r w:rsidRPr="004F39A2">
        <w:rPr>
          <w:rFonts w:ascii="STIX" w:eastAsia="Times New Roman" w:hAnsi="STIX"/>
          <w:i/>
          <w:sz w:val="20"/>
          <w:szCs w:val="24"/>
          <w:vertAlign w:val="subscript"/>
        </w:rPr>
        <w:t>RMS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3.16557.</w:t>
      </w:r>
    </w:p>
    <w:p w:rsidR="004F39A2" w:rsidRPr="004F39A2" w:rsidRDefault="004F39A2" w:rsidP="004F39A2">
      <w:pPr>
        <w:spacing w:after="0" w:line="240" w:lineRule="auto"/>
        <w:rPr>
          <w:rFonts w:ascii="STIX" w:eastAsia="Times New Roman" w:hAnsi="STIX"/>
          <w:sz w:val="20"/>
          <w:szCs w:val="24"/>
        </w:rPr>
      </w:pPr>
    </w:p>
    <w:p w:rsidR="004F39A2" w:rsidRPr="004F39A2" w:rsidRDefault="004F39A2" w:rsidP="004F39A2">
      <w:pPr>
        <w:spacing w:after="0" w:line="240" w:lineRule="auto"/>
        <w:rPr>
          <w:rFonts w:ascii="STIX" w:eastAsia="Times New Roman" w:hAnsi="STIX"/>
          <w:b/>
          <w:sz w:val="20"/>
          <w:szCs w:val="24"/>
        </w:rPr>
      </w:pPr>
      <w:r w:rsidRPr="004F39A2">
        <w:rPr>
          <w:rFonts w:ascii="STIX" w:eastAsia="Times New Roman" w:hAnsi="STIX"/>
          <w:b/>
          <w:sz w:val="20"/>
          <w:szCs w:val="24"/>
        </w:rPr>
        <w:t>(c)</w:t>
      </w:r>
    </w:p>
    <w:p w:rsidR="004F39A2" w:rsidRPr="004F39A2" w:rsidRDefault="004F39A2" w:rsidP="004F39A2">
      <w:pPr>
        <w:spacing w:after="0" w:line="240" w:lineRule="auto"/>
        <w:rPr>
          <w:rFonts w:ascii="Courier New" w:eastAsia="Times New Roman" w:hAnsi="Courier New" w:cs="Courier New"/>
          <w:sz w:val="18"/>
          <w:szCs w:val="24"/>
        </w:rPr>
      </w:pPr>
      <w:r w:rsidRPr="004F39A2">
        <w:rPr>
          <w:rFonts w:ascii="Courier New" w:eastAsia="Times New Roman" w:hAnsi="Courier New" w:cs="Courier New"/>
          <w:sz w:val="18"/>
          <w:szCs w:val="24"/>
        </w:rPr>
        <w:t>&gt;&gt; format long g</w:t>
      </w:r>
    </w:p>
    <w:p w:rsidR="004F39A2" w:rsidRPr="004F39A2" w:rsidRDefault="004F39A2" w:rsidP="004F39A2">
      <w:pPr>
        <w:spacing w:after="0" w:line="240" w:lineRule="auto"/>
        <w:rPr>
          <w:rFonts w:ascii="Courier New" w:eastAsia="Times New Roman" w:hAnsi="Courier New" w:cs="Courier New"/>
          <w:sz w:val="18"/>
          <w:szCs w:val="24"/>
        </w:rPr>
      </w:pPr>
      <w:r w:rsidRPr="004F39A2">
        <w:rPr>
          <w:rFonts w:ascii="Courier New" w:eastAsia="Times New Roman" w:hAnsi="Courier New" w:cs="Courier New"/>
          <w:sz w:val="18"/>
          <w:szCs w:val="24"/>
        </w:rPr>
        <w:t>&gt;&gt; I = integral(@(x) (8*exp(-x).*sin(2*pi*x)).^2,0,0.5)</w:t>
      </w:r>
    </w:p>
    <w:p w:rsidR="004F39A2" w:rsidRPr="004F39A2" w:rsidRDefault="004F39A2" w:rsidP="004F39A2">
      <w:pPr>
        <w:spacing w:after="0" w:line="240" w:lineRule="auto"/>
        <w:rPr>
          <w:rFonts w:ascii="Courier New" w:eastAsia="Times New Roman" w:hAnsi="Courier New" w:cs="Courier New"/>
          <w:sz w:val="18"/>
          <w:szCs w:val="24"/>
        </w:rPr>
      </w:pPr>
      <w:r w:rsidRPr="004F39A2">
        <w:rPr>
          <w:rFonts w:ascii="Courier New" w:eastAsia="Times New Roman" w:hAnsi="Courier New" w:cs="Courier New"/>
          <w:sz w:val="18"/>
          <w:szCs w:val="24"/>
        </w:rPr>
        <w:t>I =</w:t>
      </w:r>
    </w:p>
    <w:p w:rsidR="004F39A2" w:rsidRPr="004F39A2" w:rsidRDefault="004F39A2" w:rsidP="004F39A2">
      <w:pPr>
        <w:spacing w:after="0" w:line="240" w:lineRule="auto"/>
        <w:rPr>
          <w:rFonts w:ascii="Courier New" w:eastAsia="Times New Roman" w:hAnsi="Courier New" w:cs="Courier New"/>
          <w:sz w:val="18"/>
          <w:szCs w:val="24"/>
        </w:rPr>
      </w:pPr>
      <w:r w:rsidRPr="004F39A2">
        <w:rPr>
          <w:rFonts w:ascii="Courier New" w:eastAsia="Times New Roman" w:hAnsi="Courier New" w:cs="Courier New"/>
          <w:sz w:val="18"/>
          <w:szCs w:val="24"/>
        </w:rPr>
        <w:t xml:space="preserve">          9.86406918193917</w:t>
      </w:r>
    </w:p>
    <w:p w:rsidR="004F39A2" w:rsidRPr="004F39A2" w:rsidRDefault="004F39A2" w:rsidP="004F39A2">
      <w:pPr>
        <w:spacing w:after="0" w:line="240" w:lineRule="auto"/>
        <w:rPr>
          <w:rFonts w:ascii="STIX" w:eastAsia="Times New Roman" w:hAnsi="STIX"/>
          <w:b/>
          <w:sz w:val="20"/>
          <w:szCs w:val="24"/>
        </w:rPr>
      </w:pPr>
    </w:p>
    <w:p w:rsidR="004F39A2" w:rsidRPr="004F39A2" w:rsidRDefault="004F39A2" w:rsidP="004F39A2">
      <w:pPr>
        <w:spacing w:after="0" w:line="240" w:lineRule="auto"/>
        <w:rPr>
          <w:rFonts w:ascii="STIX" w:eastAsia="Times New Roman" w:hAnsi="STIX"/>
          <w:b/>
          <w:sz w:val="20"/>
          <w:szCs w:val="24"/>
        </w:rPr>
      </w:pPr>
      <w:r w:rsidRPr="004F39A2">
        <w:rPr>
          <w:rFonts w:ascii="STIX" w:eastAsia="Times New Roman" w:hAnsi="STIX"/>
          <w:sz w:val="20"/>
          <w:szCs w:val="24"/>
        </w:rPr>
        <w:t xml:space="preserve">or an </w:t>
      </w:r>
      <w:r w:rsidRPr="004F39A2">
        <w:rPr>
          <w:rFonts w:ascii="STIX" w:eastAsia="Times New Roman" w:hAnsi="STIX"/>
          <w:i/>
          <w:sz w:val="20"/>
          <w:szCs w:val="24"/>
        </w:rPr>
        <w:t>I</w:t>
      </w:r>
      <w:r w:rsidRPr="004F39A2">
        <w:rPr>
          <w:rFonts w:ascii="STIX" w:eastAsia="Times New Roman" w:hAnsi="STIX"/>
          <w:i/>
          <w:sz w:val="20"/>
          <w:szCs w:val="24"/>
          <w:vertAlign w:val="subscript"/>
        </w:rPr>
        <w:t>RMS</w:t>
      </w:r>
      <w:r w:rsidRPr="004F39A2">
        <w:rPr>
          <w:rFonts w:ascii="STIX" w:eastAsia="Times New Roman" w:hAnsi="STIX"/>
          <w:sz w:val="20"/>
          <w:szCs w:val="24"/>
        </w:rPr>
        <w:t xml:space="preserve"> </w:t>
      </w:r>
      <w:r w:rsidRPr="004F39A2">
        <w:rPr>
          <w:rFonts w:ascii="Courier New" w:eastAsia="Times New Roman" w:hAnsi="Courier New"/>
          <w:sz w:val="20"/>
          <w:szCs w:val="24"/>
        </w:rPr>
        <w:t>=</w:t>
      </w:r>
      <w:r w:rsidRPr="004F39A2">
        <w:rPr>
          <w:rFonts w:ascii="STIX" w:eastAsia="Times New Roman" w:hAnsi="STIX"/>
          <w:sz w:val="20"/>
          <w:szCs w:val="24"/>
        </w:rPr>
        <w:t xml:space="preserve"> 3.14071157.</w:t>
      </w:r>
    </w:p>
    <w:p w:rsidR="00BC0028" w:rsidRPr="00600E9B" w:rsidRDefault="00BC0028" w:rsidP="004F39A2">
      <w:pPr>
        <w:spacing w:after="0" w:line="240" w:lineRule="auto"/>
        <w:rPr>
          <w:rFonts w:ascii="Courier New" w:eastAsia="Times New Roman" w:hAnsi="Courier New" w:cs="Courier New"/>
          <w:sz w:val="18"/>
          <w:szCs w:val="24"/>
        </w:rPr>
      </w:pPr>
    </w:p>
    <w:sectPr w:rsidR="00BC0028"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D9DFB-19DC-4910-A3DF-0627EA1E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2017-03-31T17:40:00Z</dcterms:created>
  <dcterms:modified xsi:type="dcterms:W3CDTF">2017-03-31T17:40:00Z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