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D1B"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7751C5">
        <w:rPr>
          <w:b/>
          <w:noProof/>
          <w:sz w:val="20"/>
          <w:szCs w:val="20"/>
        </w:rPr>
        <w:t>20.8</w:t>
      </w:r>
    </w:p>
    <w:p w:rsidR="00600E9B" w:rsidRDefault="00600E9B" w:rsidP="00082243">
      <w:pPr>
        <w:spacing w:after="0" w:line="240" w:lineRule="auto"/>
        <w:rPr>
          <w:rFonts w:ascii="Courier New" w:eastAsia="Times New Roman" w:hAnsi="Courier New" w:cs="Courier New"/>
          <w:color w:val="000000"/>
          <w:sz w:val="18"/>
          <w:szCs w:val="26"/>
        </w:rPr>
      </w:pPr>
    </w:p>
    <w:p w:rsidR="007751C5" w:rsidRPr="007751C5" w:rsidRDefault="007751C5" w:rsidP="007751C5">
      <w:pPr>
        <w:spacing w:after="0" w:line="240" w:lineRule="auto"/>
        <w:rPr>
          <w:rFonts w:ascii="STIX" w:eastAsia="Times New Roman" w:hAnsi="STIX"/>
          <w:sz w:val="20"/>
          <w:szCs w:val="24"/>
        </w:rPr>
      </w:pPr>
      <w:r w:rsidRPr="007751C5">
        <w:rPr>
          <w:rFonts w:ascii="STIX" w:eastAsia="Times New Roman" w:hAnsi="STIX"/>
          <w:sz w:val="20"/>
          <w:szCs w:val="24"/>
        </w:rPr>
        <w:t>The integral to be evaluated is</w:t>
      </w:r>
    </w:p>
    <w:p w:rsidR="007751C5" w:rsidRPr="007751C5" w:rsidRDefault="007751C5" w:rsidP="007751C5">
      <w:pPr>
        <w:spacing w:after="0" w:line="240" w:lineRule="auto"/>
        <w:rPr>
          <w:rFonts w:ascii="STIX" w:eastAsia="Times New Roman" w:hAnsi="STIX"/>
          <w:sz w:val="20"/>
          <w:szCs w:val="24"/>
        </w:rPr>
      </w:pPr>
    </w:p>
    <w:p w:rsidR="007751C5" w:rsidRPr="007751C5" w:rsidRDefault="007751C5" w:rsidP="007751C5">
      <w:pPr>
        <w:spacing w:after="0" w:line="240" w:lineRule="auto"/>
        <w:rPr>
          <w:rFonts w:ascii="STIX" w:eastAsia="Times New Roman" w:hAnsi="STIX"/>
          <w:sz w:val="20"/>
          <w:szCs w:val="24"/>
        </w:rPr>
      </w:pPr>
      <w:r w:rsidRPr="007751C5">
        <w:rPr>
          <w:rFonts w:ascii="STIX" w:eastAsia="Times New Roman" w:hAnsi="STIX" w:cs="STIX MathJax Main"/>
          <w:position w:val="-18"/>
          <w:szCs w:val="24"/>
        </w:rPr>
        <w:object w:dxaOrig="394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908" type="#_x0000_t75" style="width:197.25pt;height:26.25pt" o:ole="">
            <v:imagedata r:id="rId8" o:title=""/>
          </v:shape>
          <o:OLEObject Type="Embed" ProgID="Equation.DSMT4" ShapeID="_x0000_i2908" DrawAspect="Content" ObjectID="_1552480290" r:id="rId9"/>
        </w:object>
      </w:r>
    </w:p>
    <w:p w:rsidR="007751C5" w:rsidRPr="007751C5" w:rsidRDefault="007751C5" w:rsidP="007751C5">
      <w:pPr>
        <w:spacing w:after="0" w:line="240" w:lineRule="auto"/>
        <w:rPr>
          <w:rFonts w:ascii="STIX" w:eastAsia="Times New Roman" w:hAnsi="STIX"/>
          <w:sz w:val="20"/>
          <w:szCs w:val="24"/>
        </w:rPr>
      </w:pPr>
    </w:p>
    <w:p w:rsidR="007751C5" w:rsidRPr="007751C5" w:rsidRDefault="007751C5" w:rsidP="007751C5">
      <w:pPr>
        <w:spacing w:after="0" w:line="240" w:lineRule="auto"/>
        <w:rPr>
          <w:rFonts w:ascii="STIX" w:eastAsia="Times New Roman" w:hAnsi="STIX"/>
          <w:sz w:val="20"/>
          <w:szCs w:val="24"/>
        </w:rPr>
      </w:pPr>
      <w:r w:rsidRPr="007751C5">
        <w:rPr>
          <w:rFonts w:ascii="STIX" w:eastAsia="Times New Roman" w:hAnsi="STIX"/>
          <w:b/>
          <w:sz w:val="20"/>
          <w:szCs w:val="24"/>
        </w:rPr>
        <w:t>(a)</w:t>
      </w:r>
      <w:r w:rsidRPr="007751C5">
        <w:rPr>
          <w:rFonts w:ascii="STIX" w:eastAsia="Times New Roman" w:hAnsi="STIX"/>
          <w:sz w:val="20"/>
          <w:szCs w:val="24"/>
        </w:rPr>
        <w:t xml:space="preserve"> The tableau depicting the implementation of Romberg integration to </w:t>
      </w:r>
      <w:r w:rsidRPr="007751C5">
        <w:rPr>
          <w:rFonts w:ascii="Courier New" w:eastAsia="Times New Roman" w:hAnsi="Courier New"/>
          <w:i/>
          <w:sz w:val="20"/>
          <w:szCs w:val="24"/>
        </w:rPr>
        <w:sym w:font="Symbol" w:char="F065"/>
      </w:r>
      <w:r w:rsidRPr="007751C5">
        <w:rPr>
          <w:rFonts w:ascii="STIX" w:eastAsia="Times New Roman" w:hAnsi="STIX"/>
          <w:i/>
          <w:sz w:val="20"/>
          <w:szCs w:val="24"/>
          <w:vertAlign w:val="subscript"/>
        </w:rPr>
        <w:t>s</w:t>
      </w:r>
      <w:r w:rsidRPr="007751C5">
        <w:rPr>
          <w:rFonts w:ascii="STIX" w:eastAsia="Times New Roman" w:hAnsi="STIX"/>
          <w:sz w:val="20"/>
          <w:szCs w:val="24"/>
        </w:rPr>
        <w:t xml:space="preserve"> </w:t>
      </w:r>
      <w:r w:rsidRPr="007751C5">
        <w:rPr>
          <w:rFonts w:ascii="Courier New" w:eastAsia="Times New Roman" w:hAnsi="Courier New"/>
          <w:sz w:val="20"/>
          <w:szCs w:val="24"/>
        </w:rPr>
        <w:t>=</w:t>
      </w:r>
      <w:r w:rsidRPr="007751C5">
        <w:rPr>
          <w:rFonts w:ascii="STIX" w:eastAsia="Times New Roman" w:hAnsi="STIX"/>
          <w:sz w:val="20"/>
          <w:szCs w:val="24"/>
        </w:rPr>
        <w:t xml:space="preserve"> 0.1</w:t>
      </w:r>
      <w:r w:rsidRPr="007751C5">
        <w:rPr>
          <w:rFonts w:ascii="Courier New" w:eastAsia="Times New Roman" w:hAnsi="Courier New"/>
          <w:sz w:val="20"/>
          <w:szCs w:val="24"/>
        </w:rPr>
        <w:t>%</w:t>
      </w:r>
      <w:r w:rsidRPr="007751C5">
        <w:rPr>
          <w:rFonts w:ascii="STIX" w:eastAsia="Times New Roman" w:hAnsi="STIX"/>
          <w:sz w:val="20"/>
          <w:szCs w:val="24"/>
        </w:rPr>
        <w:t xml:space="preserve"> is</w:t>
      </w:r>
    </w:p>
    <w:p w:rsidR="007751C5" w:rsidRPr="007751C5" w:rsidRDefault="007751C5" w:rsidP="007751C5">
      <w:pPr>
        <w:spacing w:after="0" w:line="240" w:lineRule="auto"/>
        <w:rPr>
          <w:rFonts w:ascii="STIX" w:eastAsia="Times New Roman" w:hAnsi="STIX"/>
          <w:sz w:val="20"/>
          <w:szCs w:val="24"/>
        </w:rPr>
      </w:pPr>
    </w:p>
    <w:tbl>
      <w:tblPr>
        <w:tblW w:w="6765" w:type="dxa"/>
        <w:tblCellMar>
          <w:left w:w="0" w:type="dxa"/>
          <w:right w:w="0" w:type="dxa"/>
        </w:tblCellMar>
        <w:tblLook w:val="0000"/>
      </w:tblPr>
      <w:tblGrid>
        <w:gridCol w:w="897"/>
        <w:gridCol w:w="1551"/>
        <w:gridCol w:w="1439"/>
        <w:gridCol w:w="1439"/>
        <w:gridCol w:w="1439"/>
      </w:tblGrid>
      <w:tr w:rsidR="007751C5" w:rsidRPr="007751C5" w:rsidTr="00FF7247">
        <w:trPr>
          <w:trHeight w:val="265"/>
        </w:trPr>
        <w:tc>
          <w:tcPr>
            <w:tcW w:w="897" w:type="dxa"/>
            <w:tcBorders>
              <w:top w:val="nil"/>
              <w:left w:val="nil"/>
              <w:bottom w:val="nil"/>
              <w:right w:val="nil"/>
            </w:tcBorders>
            <w:noWrap/>
            <w:tcMar>
              <w:top w:w="15" w:type="dxa"/>
              <w:left w:w="15" w:type="dxa"/>
              <w:bottom w:w="0" w:type="dxa"/>
              <w:right w:w="15" w:type="dxa"/>
            </w:tcMar>
            <w:vAlign w:val="bottom"/>
          </w:tcPr>
          <w:p w:rsidR="007751C5" w:rsidRPr="007751C5" w:rsidRDefault="007751C5" w:rsidP="007751C5">
            <w:pPr>
              <w:spacing w:after="0" w:line="240" w:lineRule="auto"/>
              <w:rPr>
                <w:rFonts w:ascii="STIX MathJax Main" w:eastAsia="Times New Roman" w:hAnsi="STIX MathJax Main" w:cs="STIX MathJax Main"/>
                <w:b/>
                <w:sz w:val="18"/>
                <w:szCs w:val="18"/>
              </w:rPr>
            </w:pPr>
            <w:r w:rsidRPr="007751C5">
              <w:rPr>
                <w:rFonts w:ascii="STIX" w:eastAsia="Times New Roman" w:hAnsi="STIX" w:cs="STIX MathJax Main"/>
                <w:b/>
                <w:sz w:val="18"/>
                <w:szCs w:val="18"/>
              </w:rPr>
              <w:t>iteration</w:t>
            </w:r>
            <w:r w:rsidRPr="007751C5">
              <w:rPr>
                <w:rFonts w:ascii="STIX" w:eastAsia="Times New Roman" w:hAnsi="STIX" w:cs="STIX MathJax Main"/>
                <w:b/>
                <w:sz w:val="18"/>
                <w:szCs w:val="18"/>
                <w:vertAlign w:val="subscript"/>
              </w:rPr>
              <w:t xml:space="preserve"> </w:t>
            </w:r>
            <w:r w:rsidRPr="007751C5">
              <w:rPr>
                <w:rFonts w:ascii="Courier New" w:eastAsia="Times New Roman" w:hAnsi="Courier New" w:cs="STIX MathJax Main"/>
                <w:b/>
                <w:sz w:val="18"/>
                <w:szCs w:val="18"/>
              </w:rPr>
              <w:sym w:font="Symbol" w:char="F0AE"/>
            </w:r>
          </w:p>
        </w:tc>
        <w:tc>
          <w:tcPr>
            <w:tcW w:w="1551" w:type="dxa"/>
            <w:tcBorders>
              <w:top w:val="nil"/>
              <w:left w:val="nil"/>
              <w:bottom w:val="nil"/>
              <w:right w:val="nil"/>
            </w:tcBorders>
            <w:noWrap/>
            <w:tcMar>
              <w:top w:w="15" w:type="dxa"/>
              <w:left w:w="15" w:type="dxa"/>
              <w:bottom w:w="0" w:type="dxa"/>
              <w:right w:w="15" w:type="dxa"/>
            </w:tcMar>
            <w:vAlign w:val="center"/>
          </w:tcPr>
          <w:p w:rsidR="007751C5" w:rsidRPr="007751C5" w:rsidRDefault="007751C5" w:rsidP="007751C5">
            <w:pPr>
              <w:spacing w:after="0" w:line="240" w:lineRule="auto"/>
              <w:jc w:val="center"/>
              <w:rPr>
                <w:rFonts w:ascii="STIX MathJax Main" w:eastAsia="Times New Roman" w:hAnsi="STIX MathJax Main" w:cs="STIX MathJax Main"/>
                <w:b/>
                <w:sz w:val="18"/>
                <w:szCs w:val="18"/>
              </w:rPr>
            </w:pPr>
            <w:r w:rsidRPr="007751C5">
              <w:rPr>
                <w:rFonts w:ascii="STIX" w:eastAsia="Times New Roman" w:hAnsi="STIX" w:cs="STIX MathJax Main"/>
                <w:b/>
                <w:sz w:val="18"/>
                <w:szCs w:val="18"/>
              </w:rPr>
              <w:t>1</w:t>
            </w:r>
          </w:p>
        </w:tc>
        <w:tc>
          <w:tcPr>
            <w:tcW w:w="1439" w:type="dxa"/>
            <w:tcBorders>
              <w:top w:val="nil"/>
              <w:left w:val="nil"/>
              <w:bottom w:val="nil"/>
              <w:right w:val="nil"/>
            </w:tcBorders>
            <w:noWrap/>
            <w:tcMar>
              <w:top w:w="15" w:type="dxa"/>
              <w:left w:w="15" w:type="dxa"/>
              <w:bottom w:w="0" w:type="dxa"/>
              <w:right w:w="15" w:type="dxa"/>
            </w:tcMar>
            <w:vAlign w:val="center"/>
          </w:tcPr>
          <w:p w:rsidR="007751C5" w:rsidRPr="007751C5" w:rsidRDefault="007751C5" w:rsidP="007751C5">
            <w:pPr>
              <w:spacing w:after="0" w:line="240" w:lineRule="auto"/>
              <w:jc w:val="center"/>
              <w:rPr>
                <w:rFonts w:ascii="STIX MathJax Main" w:eastAsia="Times New Roman" w:hAnsi="STIX MathJax Main" w:cs="STIX MathJax Main"/>
                <w:b/>
                <w:sz w:val="18"/>
                <w:szCs w:val="18"/>
              </w:rPr>
            </w:pPr>
            <w:r w:rsidRPr="007751C5">
              <w:rPr>
                <w:rFonts w:ascii="STIX" w:eastAsia="Times New Roman" w:hAnsi="STIX" w:cs="STIX MathJax Main"/>
                <w:b/>
                <w:sz w:val="18"/>
                <w:szCs w:val="18"/>
              </w:rPr>
              <w:t>2</w:t>
            </w:r>
          </w:p>
        </w:tc>
        <w:tc>
          <w:tcPr>
            <w:tcW w:w="1439" w:type="dxa"/>
            <w:tcBorders>
              <w:top w:val="nil"/>
              <w:left w:val="nil"/>
              <w:bottom w:val="nil"/>
              <w:right w:val="nil"/>
            </w:tcBorders>
            <w:noWrap/>
            <w:tcMar>
              <w:top w:w="15" w:type="dxa"/>
              <w:left w:w="15" w:type="dxa"/>
              <w:bottom w:w="0" w:type="dxa"/>
              <w:right w:w="15" w:type="dxa"/>
            </w:tcMar>
            <w:vAlign w:val="center"/>
          </w:tcPr>
          <w:p w:rsidR="007751C5" w:rsidRPr="007751C5" w:rsidRDefault="007751C5" w:rsidP="007751C5">
            <w:pPr>
              <w:spacing w:after="0" w:line="240" w:lineRule="auto"/>
              <w:jc w:val="center"/>
              <w:rPr>
                <w:rFonts w:ascii="STIX MathJax Main" w:eastAsia="Times New Roman" w:hAnsi="STIX MathJax Main" w:cs="STIX MathJax Main"/>
                <w:b/>
                <w:sz w:val="18"/>
                <w:szCs w:val="18"/>
              </w:rPr>
            </w:pPr>
            <w:r w:rsidRPr="007751C5">
              <w:rPr>
                <w:rFonts w:ascii="STIX" w:eastAsia="Times New Roman" w:hAnsi="STIX" w:cs="STIX MathJax Main"/>
                <w:b/>
                <w:sz w:val="18"/>
                <w:szCs w:val="18"/>
              </w:rPr>
              <w:t>3</w:t>
            </w:r>
          </w:p>
        </w:tc>
        <w:tc>
          <w:tcPr>
            <w:tcW w:w="1439" w:type="dxa"/>
            <w:tcBorders>
              <w:top w:val="nil"/>
              <w:left w:val="nil"/>
              <w:bottom w:val="nil"/>
              <w:right w:val="nil"/>
            </w:tcBorders>
            <w:noWrap/>
            <w:tcMar>
              <w:top w:w="15" w:type="dxa"/>
              <w:left w:w="15" w:type="dxa"/>
              <w:bottom w:w="0" w:type="dxa"/>
              <w:right w:w="15" w:type="dxa"/>
            </w:tcMar>
            <w:vAlign w:val="center"/>
          </w:tcPr>
          <w:p w:rsidR="007751C5" w:rsidRPr="007751C5" w:rsidRDefault="007751C5" w:rsidP="007751C5">
            <w:pPr>
              <w:spacing w:after="0" w:line="240" w:lineRule="auto"/>
              <w:jc w:val="center"/>
              <w:rPr>
                <w:rFonts w:ascii="STIX MathJax Main" w:eastAsia="Times New Roman" w:hAnsi="STIX MathJax Main" w:cs="STIX MathJax Main"/>
                <w:b/>
                <w:sz w:val="18"/>
                <w:szCs w:val="18"/>
              </w:rPr>
            </w:pPr>
            <w:r w:rsidRPr="007751C5">
              <w:rPr>
                <w:rFonts w:ascii="STIX" w:eastAsia="Times New Roman" w:hAnsi="STIX" w:cs="STIX MathJax Main"/>
                <w:b/>
                <w:sz w:val="18"/>
                <w:szCs w:val="18"/>
              </w:rPr>
              <w:t>4</w:t>
            </w:r>
          </w:p>
        </w:tc>
      </w:tr>
      <w:tr w:rsidR="007751C5" w:rsidRPr="007751C5" w:rsidTr="00FF7247">
        <w:trPr>
          <w:trHeight w:val="265"/>
        </w:trPr>
        <w:tc>
          <w:tcPr>
            <w:tcW w:w="0" w:type="auto"/>
            <w:tcBorders>
              <w:top w:val="nil"/>
              <w:left w:val="nil"/>
              <w:bottom w:val="nil"/>
              <w:right w:val="nil"/>
            </w:tcBorders>
            <w:noWrap/>
            <w:tcMar>
              <w:top w:w="15" w:type="dxa"/>
              <w:left w:w="15" w:type="dxa"/>
              <w:bottom w:w="0" w:type="dxa"/>
              <w:right w:w="15" w:type="dxa"/>
            </w:tcMar>
            <w:vAlign w:val="bottom"/>
          </w:tcPr>
          <w:p w:rsidR="007751C5" w:rsidRPr="007751C5" w:rsidRDefault="007751C5" w:rsidP="007751C5">
            <w:pPr>
              <w:spacing w:after="0" w:line="240" w:lineRule="auto"/>
              <w:rPr>
                <w:rFonts w:ascii="STIX MathJax Main" w:eastAsia="Times New Roman" w:hAnsi="STIX MathJax Main" w:cs="STIX MathJax Main"/>
                <w:b/>
                <w:sz w:val="18"/>
                <w:szCs w:val="18"/>
              </w:rPr>
            </w:pPr>
            <w:r w:rsidRPr="007751C5">
              <w:rPr>
                <w:rFonts w:ascii="Courier New" w:eastAsia="Times New Roman" w:hAnsi="Courier New"/>
                <w:b/>
                <w:i/>
                <w:sz w:val="18"/>
                <w:szCs w:val="18"/>
              </w:rPr>
              <w:sym w:font="Symbol" w:char="F065"/>
            </w:r>
            <w:r w:rsidRPr="007751C5">
              <w:rPr>
                <w:rFonts w:ascii="STIX" w:eastAsia="Times New Roman" w:hAnsi="STIX" w:cs="STIX MathJax Main"/>
                <w:b/>
                <w:i/>
                <w:sz w:val="18"/>
                <w:szCs w:val="18"/>
                <w:vertAlign w:val="subscript"/>
              </w:rPr>
              <w:t>a</w:t>
            </w:r>
            <w:r w:rsidRPr="007751C5">
              <w:rPr>
                <w:rFonts w:ascii="STIX" w:eastAsia="Times New Roman" w:hAnsi="STIX" w:cs="STIX MathJax Main"/>
                <w:b/>
                <w:sz w:val="18"/>
                <w:szCs w:val="18"/>
                <w:vertAlign w:val="subscript"/>
              </w:rPr>
              <w:t xml:space="preserve"> </w:t>
            </w:r>
            <w:r w:rsidRPr="007751C5">
              <w:rPr>
                <w:rFonts w:ascii="Courier New" w:eastAsia="Times New Roman" w:hAnsi="Courier New" w:cs="STIX MathJax Main"/>
                <w:b/>
                <w:sz w:val="18"/>
                <w:szCs w:val="18"/>
              </w:rPr>
              <w:sym w:font="Symbol" w:char="F0AE"/>
            </w:r>
          </w:p>
        </w:tc>
        <w:tc>
          <w:tcPr>
            <w:tcW w:w="0" w:type="auto"/>
            <w:tcBorders>
              <w:top w:val="nil"/>
              <w:left w:val="nil"/>
              <w:bottom w:val="nil"/>
              <w:right w:val="nil"/>
            </w:tcBorders>
            <w:noWrap/>
            <w:tcMar>
              <w:top w:w="15" w:type="dxa"/>
              <w:left w:w="15" w:type="dxa"/>
              <w:bottom w:w="0" w:type="dxa"/>
              <w:right w:w="15" w:type="dxa"/>
            </w:tcMar>
            <w:vAlign w:val="center"/>
          </w:tcPr>
          <w:p w:rsidR="007751C5" w:rsidRPr="007751C5" w:rsidRDefault="007751C5" w:rsidP="007751C5">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noWrap/>
            <w:tcMar>
              <w:top w:w="15" w:type="dxa"/>
              <w:left w:w="15" w:type="dxa"/>
              <w:bottom w:w="0" w:type="dxa"/>
              <w:right w:w="15" w:type="dxa"/>
            </w:tcMar>
            <w:vAlign w:val="center"/>
          </w:tcPr>
          <w:p w:rsidR="007751C5" w:rsidRPr="007751C5" w:rsidRDefault="007751C5" w:rsidP="007751C5">
            <w:pPr>
              <w:spacing w:after="0" w:line="240" w:lineRule="auto"/>
              <w:jc w:val="center"/>
              <w:rPr>
                <w:rFonts w:ascii="STIX MathJax Main" w:eastAsia="Times New Roman" w:hAnsi="STIX MathJax Main" w:cs="STIX MathJax Main"/>
                <w:sz w:val="18"/>
                <w:szCs w:val="18"/>
              </w:rPr>
            </w:pPr>
            <w:r w:rsidRPr="007751C5">
              <w:rPr>
                <w:rFonts w:ascii="STIX" w:eastAsia="Times New Roman" w:hAnsi="STIX" w:cs="STIX MathJax Main"/>
                <w:sz w:val="18"/>
                <w:szCs w:val="18"/>
              </w:rPr>
              <w:t>8.2537</w:t>
            </w:r>
            <w:r w:rsidRPr="007751C5">
              <w:rPr>
                <w:rFonts w:ascii="Courier New" w:eastAsia="Times New Roman" w:hAnsi="Courier New" w:cs="STIX MathJax Main"/>
                <w:sz w:val="18"/>
                <w:szCs w:val="18"/>
              </w:rPr>
              <w:t>%</w:t>
            </w:r>
          </w:p>
        </w:tc>
        <w:tc>
          <w:tcPr>
            <w:tcW w:w="0" w:type="auto"/>
            <w:tcBorders>
              <w:top w:val="nil"/>
              <w:left w:val="nil"/>
              <w:bottom w:val="nil"/>
              <w:right w:val="nil"/>
            </w:tcBorders>
            <w:noWrap/>
            <w:tcMar>
              <w:top w:w="15" w:type="dxa"/>
              <w:left w:w="15" w:type="dxa"/>
              <w:bottom w:w="0" w:type="dxa"/>
              <w:right w:w="15" w:type="dxa"/>
            </w:tcMar>
            <w:vAlign w:val="center"/>
          </w:tcPr>
          <w:p w:rsidR="007751C5" w:rsidRPr="007751C5" w:rsidRDefault="007751C5" w:rsidP="007751C5">
            <w:pPr>
              <w:spacing w:after="0" w:line="240" w:lineRule="auto"/>
              <w:jc w:val="center"/>
              <w:rPr>
                <w:rFonts w:ascii="STIX MathJax Main" w:eastAsia="Times New Roman" w:hAnsi="STIX MathJax Main" w:cs="STIX MathJax Main"/>
                <w:sz w:val="18"/>
                <w:szCs w:val="18"/>
              </w:rPr>
            </w:pPr>
            <w:r w:rsidRPr="007751C5">
              <w:rPr>
                <w:rFonts w:ascii="STIX" w:eastAsia="Times New Roman" w:hAnsi="STIX" w:cs="STIX MathJax Main"/>
                <w:sz w:val="18"/>
                <w:szCs w:val="18"/>
              </w:rPr>
              <w:t>0.1298</w:t>
            </w:r>
            <w:r w:rsidRPr="007751C5">
              <w:rPr>
                <w:rFonts w:ascii="Courier New" w:eastAsia="Times New Roman" w:hAnsi="Courier New" w:cs="STIX MathJax Main"/>
                <w:sz w:val="18"/>
                <w:szCs w:val="18"/>
              </w:rPr>
              <w:t>%</w:t>
            </w:r>
          </w:p>
        </w:tc>
        <w:tc>
          <w:tcPr>
            <w:tcW w:w="0" w:type="auto"/>
            <w:tcBorders>
              <w:top w:val="nil"/>
              <w:left w:val="nil"/>
              <w:bottom w:val="nil"/>
              <w:right w:val="nil"/>
            </w:tcBorders>
            <w:noWrap/>
            <w:tcMar>
              <w:top w:w="15" w:type="dxa"/>
              <w:left w:w="15" w:type="dxa"/>
              <w:bottom w:w="0" w:type="dxa"/>
              <w:right w:w="15" w:type="dxa"/>
            </w:tcMar>
            <w:vAlign w:val="center"/>
          </w:tcPr>
          <w:p w:rsidR="007751C5" w:rsidRPr="007751C5" w:rsidRDefault="007751C5" w:rsidP="007751C5">
            <w:pPr>
              <w:spacing w:after="0" w:line="240" w:lineRule="auto"/>
              <w:jc w:val="center"/>
              <w:rPr>
                <w:rFonts w:ascii="STIX MathJax Main" w:eastAsia="Times New Roman" w:hAnsi="STIX MathJax Main" w:cs="STIX MathJax Main"/>
                <w:sz w:val="18"/>
                <w:szCs w:val="18"/>
              </w:rPr>
            </w:pPr>
            <w:r w:rsidRPr="007751C5">
              <w:rPr>
                <w:rFonts w:ascii="STIX" w:eastAsia="Times New Roman" w:hAnsi="STIX" w:cs="STIX MathJax Main"/>
                <w:sz w:val="18"/>
                <w:szCs w:val="18"/>
              </w:rPr>
              <w:t>0.0014429</w:t>
            </w:r>
            <w:r w:rsidRPr="007751C5">
              <w:rPr>
                <w:rFonts w:ascii="Courier New" w:eastAsia="Times New Roman" w:hAnsi="Courier New" w:cs="STIX MathJax Main"/>
                <w:sz w:val="18"/>
                <w:szCs w:val="18"/>
              </w:rPr>
              <w:t>%</w:t>
            </w:r>
          </w:p>
        </w:tc>
      </w:tr>
      <w:tr w:rsidR="007751C5" w:rsidRPr="007751C5" w:rsidTr="00FF7247">
        <w:trPr>
          <w:trHeight w:val="265"/>
        </w:trPr>
        <w:tc>
          <w:tcPr>
            <w:tcW w:w="0" w:type="auto"/>
            <w:tcBorders>
              <w:top w:val="nil"/>
              <w:left w:val="nil"/>
              <w:bottom w:val="nil"/>
              <w:right w:val="nil"/>
            </w:tcBorders>
            <w:noWrap/>
            <w:tcMar>
              <w:top w:w="15" w:type="dxa"/>
              <w:left w:w="15" w:type="dxa"/>
              <w:bottom w:w="0" w:type="dxa"/>
              <w:right w:w="15" w:type="dxa"/>
            </w:tcMar>
            <w:vAlign w:val="center"/>
          </w:tcPr>
          <w:p w:rsidR="007751C5" w:rsidRPr="007751C5" w:rsidRDefault="007751C5" w:rsidP="007751C5">
            <w:pPr>
              <w:spacing w:after="0" w:line="240" w:lineRule="auto"/>
              <w:jc w:val="center"/>
              <w:rPr>
                <w:rFonts w:ascii="STIX MathJax Main" w:eastAsia="Times New Roman" w:hAnsi="STIX MathJax Main" w:cs="STIX MathJax Main"/>
                <w:sz w:val="18"/>
                <w:szCs w:val="18"/>
              </w:rPr>
            </w:pPr>
            <w:r w:rsidRPr="007751C5">
              <w:rPr>
                <w:rFonts w:ascii="STIX" w:eastAsia="Times New Roman" w:hAnsi="STIX" w:cs="STIX MathJax Main"/>
                <w:sz w:val="18"/>
                <w:szCs w:val="18"/>
              </w:rPr>
              <w:t>1</w:t>
            </w:r>
          </w:p>
        </w:tc>
        <w:tc>
          <w:tcPr>
            <w:tcW w:w="0" w:type="auto"/>
            <w:tcBorders>
              <w:top w:val="nil"/>
              <w:left w:val="nil"/>
              <w:bottom w:val="nil"/>
              <w:right w:val="nil"/>
            </w:tcBorders>
            <w:noWrap/>
            <w:tcMar>
              <w:top w:w="15" w:type="dxa"/>
              <w:left w:w="15" w:type="dxa"/>
              <w:bottom w:w="0" w:type="dxa"/>
              <w:right w:w="15" w:type="dxa"/>
            </w:tcMar>
            <w:vAlign w:val="center"/>
          </w:tcPr>
          <w:p w:rsidR="007751C5" w:rsidRPr="007751C5" w:rsidRDefault="007751C5" w:rsidP="007751C5">
            <w:pPr>
              <w:spacing w:after="0" w:line="240" w:lineRule="auto"/>
              <w:jc w:val="center"/>
              <w:rPr>
                <w:rFonts w:ascii="STIX MathJax Main" w:eastAsia="Times New Roman" w:hAnsi="STIX MathJax Main" w:cs="STIX MathJax Main"/>
                <w:sz w:val="18"/>
                <w:szCs w:val="18"/>
              </w:rPr>
            </w:pPr>
            <w:r w:rsidRPr="007751C5">
              <w:rPr>
                <w:rFonts w:ascii="STIX" w:eastAsia="Times New Roman" w:hAnsi="STIX" w:cs="STIX MathJax Main"/>
                <w:sz w:val="18"/>
                <w:szCs w:val="18"/>
              </w:rPr>
              <w:t>437.99743327</w:t>
            </w:r>
          </w:p>
        </w:tc>
        <w:tc>
          <w:tcPr>
            <w:tcW w:w="0" w:type="auto"/>
            <w:tcBorders>
              <w:top w:val="nil"/>
              <w:left w:val="nil"/>
              <w:bottom w:val="nil"/>
              <w:right w:val="nil"/>
            </w:tcBorders>
            <w:noWrap/>
            <w:tcMar>
              <w:top w:w="15" w:type="dxa"/>
              <w:left w:w="15" w:type="dxa"/>
              <w:bottom w:w="0" w:type="dxa"/>
              <w:right w:w="15" w:type="dxa"/>
            </w:tcMar>
            <w:vAlign w:val="center"/>
          </w:tcPr>
          <w:p w:rsidR="007751C5" w:rsidRPr="007751C5" w:rsidRDefault="007751C5" w:rsidP="007751C5">
            <w:pPr>
              <w:spacing w:after="0" w:line="240" w:lineRule="auto"/>
              <w:jc w:val="center"/>
              <w:rPr>
                <w:rFonts w:ascii="STIX MathJax Main" w:eastAsia="Times New Roman" w:hAnsi="STIX MathJax Main" w:cs="STIX MathJax Main"/>
                <w:sz w:val="18"/>
                <w:szCs w:val="18"/>
              </w:rPr>
            </w:pPr>
            <w:r w:rsidRPr="007751C5">
              <w:rPr>
                <w:rFonts w:ascii="STIX" w:eastAsia="Times New Roman" w:hAnsi="STIX" w:cs="STIX MathJax Main"/>
                <w:sz w:val="18"/>
                <w:szCs w:val="18"/>
              </w:rPr>
              <w:t>329.28470773</w:t>
            </w:r>
          </w:p>
        </w:tc>
        <w:tc>
          <w:tcPr>
            <w:tcW w:w="0" w:type="auto"/>
            <w:tcBorders>
              <w:top w:val="nil"/>
              <w:left w:val="nil"/>
              <w:bottom w:val="nil"/>
              <w:right w:val="nil"/>
            </w:tcBorders>
            <w:noWrap/>
            <w:tcMar>
              <w:top w:w="15" w:type="dxa"/>
              <w:left w:w="15" w:type="dxa"/>
              <w:bottom w:w="0" w:type="dxa"/>
              <w:right w:w="15" w:type="dxa"/>
            </w:tcMar>
            <w:vAlign w:val="center"/>
          </w:tcPr>
          <w:p w:rsidR="007751C5" w:rsidRPr="007751C5" w:rsidRDefault="007751C5" w:rsidP="007751C5">
            <w:pPr>
              <w:spacing w:after="0" w:line="240" w:lineRule="auto"/>
              <w:jc w:val="center"/>
              <w:rPr>
                <w:rFonts w:ascii="STIX MathJax Main" w:eastAsia="Times New Roman" w:hAnsi="STIX MathJax Main" w:cs="STIX MathJax Main"/>
                <w:sz w:val="18"/>
                <w:szCs w:val="18"/>
              </w:rPr>
            </w:pPr>
            <w:r w:rsidRPr="007751C5">
              <w:rPr>
                <w:rFonts w:ascii="STIX" w:eastAsia="Times New Roman" w:hAnsi="STIX" w:cs="STIX MathJax Main"/>
                <w:sz w:val="18"/>
                <w:szCs w:val="18"/>
              </w:rPr>
              <w:t>336.26944122</w:t>
            </w:r>
          </w:p>
        </w:tc>
        <w:tc>
          <w:tcPr>
            <w:tcW w:w="0" w:type="auto"/>
            <w:tcBorders>
              <w:top w:val="nil"/>
              <w:left w:val="nil"/>
              <w:bottom w:val="nil"/>
              <w:right w:val="nil"/>
            </w:tcBorders>
            <w:noWrap/>
            <w:tcMar>
              <w:top w:w="15" w:type="dxa"/>
              <w:left w:w="15" w:type="dxa"/>
              <w:bottom w:w="0" w:type="dxa"/>
              <w:right w:w="15" w:type="dxa"/>
            </w:tcMar>
            <w:vAlign w:val="center"/>
          </w:tcPr>
          <w:p w:rsidR="007751C5" w:rsidRPr="007751C5" w:rsidRDefault="007751C5" w:rsidP="007751C5">
            <w:pPr>
              <w:spacing w:after="0" w:line="240" w:lineRule="auto"/>
              <w:jc w:val="center"/>
              <w:rPr>
                <w:rFonts w:ascii="STIX MathJax Main" w:eastAsia="Times New Roman" w:hAnsi="STIX MathJax Main" w:cs="STIX MathJax Main"/>
                <w:sz w:val="18"/>
                <w:szCs w:val="18"/>
              </w:rPr>
            </w:pPr>
            <w:r w:rsidRPr="007751C5">
              <w:rPr>
                <w:rFonts w:ascii="STIX" w:eastAsia="Times New Roman" w:hAnsi="STIX" w:cs="STIX MathJax Main"/>
                <w:sz w:val="18"/>
                <w:szCs w:val="18"/>
              </w:rPr>
              <w:t>335.95919795</w:t>
            </w:r>
          </w:p>
        </w:tc>
      </w:tr>
      <w:tr w:rsidR="007751C5" w:rsidRPr="007751C5" w:rsidTr="00FF7247">
        <w:trPr>
          <w:trHeight w:val="265"/>
        </w:trPr>
        <w:tc>
          <w:tcPr>
            <w:tcW w:w="0" w:type="auto"/>
            <w:tcBorders>
              <w:top w:val="nil"/>
              <w:left w:val="nil"/>
              <w:bottom w:val="nil"/>
              <w:right w:val="nil"/>
            </w:tcBorders>
            <w:noWrap/>
            <w:tcMar>
              <w:top w:w="15" w:type="dxa"/>
              <w:left w:w="15" w:type="dxa"/>
              <w:bottom w:w="0" w:type="dxa"/>
              <w:right w:w="15" w:type="dxa"/>
            </w:tcMar>
            <w:vAlign w:val="center"/>
          </w:tcPr>
          <w:p w:rsidR="007751C5" w:rsidRPr="007751C5" w:rsidRDefault="007751C5" w:rsidP="007751C5">
            <w:pPr>
              <w:spacing w:after="0" w:line="240" w:lineRule="auto"/>
              <w:jc w:val="center"/>
              <w:rPr>
                <w:rFonts w:ascii="STIX MathJax Main" w:eastAsia="Times New Roman" w:hAnsi="STIX MathJax Main" w:cs="STIX MathJax Main"/>
                <w:sz w:val="18"/>
                <w:szCs w:val="18"/>
              </w:rPr>
            </w:pPr>
            <w:r w:rsidRPr="007751C5">
              <w:rPr>
                <w:rFonts w:ascii="STIX" w:eastAsia="Times New Roman" w:hAnsi="STIX" w:cs="STIX MathJax Main"/>
                <w:sz w:val="18"/>
                <w:szCs w:val="18"/>
              </w:rPr>
              <w:t>2</w:t>
            </w:r>
          </w:p>
        </w:tc>
        <w:tc>
          <w:tcPr>
            <w:tcW w:w="0" w:type="auto"/>
            <w:tcBorders>
              <w:top w:val="nil"/>
              <w:left w:val="nil"/>
              <w:bottom w:val="nil"/>
              <w:right w:val="nil"/>
            </w:tcBorders>
            <w:noWrap/>
            <w:tcMar>
              <w:top w:w="15" w:type="dxa"/>
              <w:left w:w="15" w:type="dxa"/>
              <w:bottom w:w="0" w:type="dxa"/>
              <w:right w:w="15" w:type="dxa"/>
            </w:tcMar>
            <w:vAlign w:val="center"/>
          </w:tcPr>
          <w:p w:rsidR="007751C5" w:rsidRPr="007751C5" w:rsidRDefault="007751C5" w:rsidP="007751C5">
            <w:pPr>
              <w:spacing w:after="0" w:line="240" w:lineRule="auto"/>
              <w:jc w:val="center"/>
              <w:rPr>
                <w:rFonts w:ascii="STIX MathJax Main" w:eastAsia="Times New Roman" w:hAnsi="STIX MathJax Main" w:cs="STIX MathJax Main"/>
                <w:sz w:val="18"/>
                <w:szCs w:val="18"/>
              </w:rPr>
            </w:pPr>
            <w:r w:rsidRPr="007751C5">
              <w:rPr>
                <w:rFonts w:ascii="STIX" w:eastAsia="Times New Roman" w:hAnsi="STIX" w:cs="STIX MathJax Main"/>
                <w:sz w:val="18"/>
                <w:szCs w:val="18"/>
              </w:rPr>
              <w:t>356.46288911</w:t>
            </w:r>
          </w:p>
        </w:tc>
        <w:tc>
          <w:tcPr>
            <w:tcW w:w="0" w:type="auto"/>
            <w:tcBorders>
              <w:top w:val="nil"/>
              <w:left w:val="nil"/>
              <w:bottom w:val="nil"/>
              <w:right w:val="nil"/>
            </w:tcBorders>
            <w:noWrap/>
            <w:tcMar>
              <w:top w:w="15" w:type="dxa"/>
              <w:left w:w="15" w:type="dxa"/>
              <w:bottom w:w="0" w:type="dxa"/>
              <w:right w:w="15" w:type="dxa"/>
            </w:tcMar>
            <w:vAlign w:val="center"/>
          </w:tcPr>
          <w:p w:rsidR="007751C5" w:rsidRPr="007751C5" w:rsidRDefault="007751C5" w:rsidP="007751C5">
            <w:pPr>
              <w:spacing w:after="0" w:line="240" w:lineRule="auto"/>
              <w:jc w:val="center"/>
              <w:rPr>
                <w:rFonts w:ascii="STIX MathJax Main" w:eastAsia="Times New Roman" w:hAnsi="STIX MathJax Main" w:cs="STIX MathJax Main"/>
                <w:sz w:val="18"/>
                <w:szCs w:val="18"/>
              </w:rPr>
            </w:pPr>
            <w:r w:rsidRPr="007751C5">
              <w:rPr>
                <w:rFonts w:ascii="STIX" w:eastAsia="Times New Roman" w:hAnsi="STIX" w:cs="STIX MathJax Main"/>
                <w:sz w:val="18"/>
                <w:szCs w:val="18"/>
              </w:rPr>
              <w:t>335.83289538</w:t>
            </w:r>
          </w:p>
        </w:tc>
        <w:tc>
          <w:tcPr>
            <w:tcW w:w="0" w:type="auto"/>
            <w:tcBorders>
              <w:top w:val="nil"/>
              <w:left w:val="nil"/>
              <w:bottom w:val="nil"/>
              <w:right w:val="nil"/>
            </w:tcBorders>
            <w:noWrap/>
            <w:tcMar>
              <w:top w:w="15" w:type="dxa"/>
              <w:left w:w="15" w:type="dxa"/>
              <w:bottom w:w="0" w:type="dxa"/>
              <w:right w:w="15" w:type="dxa"/>
            </w:tcMar>
            <w:vAlign w:val="center"/>
          </w:tcPr>
          <w:p w:rsidR="007751C5" w:rsidRPr="007751C5" w:rsidRDefault="007751C5" w:rsidP="007751C5">
            <w:pPr>
              <w:spacing w:after="0" w:line="240" w:lineRule="auto"/>
              <w:jc w:val="center"/>
              <w:rPr>
                <w:rFonts w:ascii="STIX MathJax Main" w:eastAsia="Times New Roman" w:hAnsi="STIX MathJax Main" w:cs="STIX MathJax Main"/>
                <w:sz w:val="18"/>
                <w:szCs w:val="18"/>
              </w:rPr>
            </w:pPr>
            <w:r w:rsidRPr="007751C5">
              <w:rPr>
                <w:rFonts w:ascii="STIX" w:eastAsia="Times New Roman" w:hAnsi="STIX" w:cs="STIX MathJax Main"/>
                <w:sz w:val="18"/>
                <w:szCs w:val="18"/>
              </w:rPr>
              <w:t>335.96404550</w:t>
            </w:r>
          </w:p>
        </w:tc>
        <w:tc>
          <w:tcPr>
            <w:tcW w:w="0" w:type="auto"/>
            <w:tcBorders>
              <w:top w:val="nil"/>
              <w:left w:val="nil"/>
              <w:bottom w:val="nil"/>
              <w:right w:val="nil"/>
            </w:tcBorders>
            <w:noWrap/>
            <w:tcMar>
              <w:top w:w="15" w:type="dxa"/>
              <w:left w:w="15" w:type="dxa"/>
              <w:bottom w:w="0" w:type="dxa"/>
              <w:right w:w="15" w:type="dxa"/>
            </w:tcMar>
            <w:vAlign w:val="center"/>
          </w:tcPr>
          <w:p w:rsidR="007751C5" w:rsidRPr="007751C5" w:rsidRDefault="007751C5" w:rsidP="007751C5">
            <w:pPr>
              <w:spacing w:after="0" w:line="240" w:lineRule="auto"/>
              <w:jc w:val="center"/>
              <w:rPr>
                <w:rFonts w:ascii="STIX MathJax Main" w:eastAsia="Times New Roman" w:hAnsi="STIX MathJax Main" w:cs="STIX MathJax Main"/>
                <w:sz w:val="18"/>
                <w:szCs w:val="18"/>
              </w:rPr>
            </w:pPr>
          </w:p>
        </w:tc>
      </w:tr>
      <w:tr w:rsidR="007751C5" w:rsidRPr="007751C5" w:rsidTr="00FF7247">
        <w:trPr>
          <w:trHeight w:val="265"/>
        </w:trPr>
        <w:tc>
          <w:tcPr>
            <w:tcW w:w="0" w:type="auto"/>
            <w:tcBorders>
              <w:top w:val="nil"/>
              <w:left w:val="nil"/>
              <w:bottom w:val="nil"/>
              <w:right w:val="nil"/>
            </w:tcBorders>
            <w:noWrap/>
            <w:tcMar>
              <w:top w:w="15" w:type="dxa"/>
              <w:left w:w="15" w:type="dxa"/>
              <w:bottom w:w="0" w:type="dxa"/>
              <w:right w:w="15" w:type="dxa"/>
            </w:tcMar>
            <w:vAlign w:val="center"/>
          </w:tcPr>
          <w:p w:rsidR="007751C5" w:rsidRPr="007751C5" w:rsidRDefault="007751C5" w:rsidP="007751C5">
            <w:pPr>
              <w:spacing w:after="0" w:line="240" w:lineRule="auto"/>
              <w:jc w:val="center"/>
              <w:rPr>
                <w:rFonts w:ascii="STIX MathJax Main" w:eastAsia="Times New Roman" w:hAnsi="STIX MathJax Main" w:cs="STIX MathJax Main"/>
                <w:sz w:val="18"/>
                <w:szCs w:val="18"/>
              </w:rPr>
            </w:pPr>
            <w:r w:rsidRPr="007751C5">
              <w:rPr>
                <w:rFonts w:ascii="STIX" w:eastAsia="Times New Roman" w:hAnsi="STIX" w:cs="STIX MathJax Main"/>
                <w:sz w:val="18"/>
                <w:szCs w:val="18"/>
              </w:rPr>
              <w:t>4</w:t>
            </w:r>
          </w:p>
        </w:tc>
        <w:tc>
          <w:tcPr>
            <w:tcW w:w="0" w:type="auto"/>
            <w:tcBorders>
              <w:top w:val="nil"/>
              <w:left w:val="nil"/>
              <w:bottom w:val="nil"/>
              <w:right w:val="nil"/>
            </w:tcBorders>
            <w:noWrap/>
            <w:tcMar>
              <w:top w:w="15" w:type="dxa"/>
              <w:left w:w="15" w:type="dxa"/>
              <w:bottom w:w="0" w:type="dxa"/>
              <w:right w:w="15" w:type="dxa"/>
            </w:tcMar>
            <w:vAlign w:val="center"/>
          </w:tcPr>
          <w:p w:rsidR="007751C5" w:rsidRPr="007751C5" w:rsidRDefault="007751C5" w:rsidP="007751C5">
            <w:pPr>
              <w:spacing w:after="0" w:line="240" w:lineRule="auto"/>
              <w:jc w:val="center"/>
              <w:rPr>
                <w:rFonts w:ascii="STIX MathJax Main" w:eastAsia="Times New Roman" w:hAnsi="STIX MathJax Main" w:cs="STIX MathJax Main"/>
                <w:sz w:val="18"/>
                <w:szCs w:val="18"/>
              </w:rPr>
            </w:pPr>
            <w:r w:rsidRPr="007751C5">
              <w:rPr>
                <w:rFonts w:ascii="STIX" w:eastAsia="Times New Roman" w:hAnsi="STIX" w:cs="STIX MathJax Main"/>
                <w:sz w:val="18"/>
                <w:szCs w:val="18"/>
              </w:rPr>
              <w:t>340.99039381</w:t>
            </w:r>
          </w:p>
        </w:tc>
        <w:tc>
          <w:tcPr>
            <w:tcW w:w="0" w:type="auto"/>
            <w:tcBorders>
              <w:top w:val="nil"/>
              <w:left w:val="nil"/>
              <w:bottom w:val="nil"/>
              <w:right w:val="nil"/>
            </w:tcBorders>
            <w:noWrap/>
            <w:tcMar>
              <w:top w:w="15" w:type="dxa"/>
              <w:left w:w="15" w:type="dxa"/>
              <w:bottom w:w="0" w:type="dxa"/>
              <w:right w:w="15" w:type="dxa"/>
            </w:tcMar>
            <w:vAlign w:val="center"/>
          </w:tcPr>
          <w:p w:rsidR="007751C5" w:rsidRPr="007751C5" w:rsidRDefault="007751C5" w:rsidP="007751C5">
            <w:pPr>
              <w:spacing w:after="0" w:line="240" w:lineRule="auto"/>
              <w:jc w:val="center"/>
              <w:rPr>
                <w:rFonts w:ascii="STIX MathJax Main" w:eastAsia="Times New Roman" w:hAnsi="STIX MathJax Main" w:cs="STIX MathJax Main"/>
                <w:sz w:val="18"/>
                <w:szCs w:val="18"/>
              </w:rPr>
            </w:pPr>
            <w:r w:rsidRPr="007751C5">
              <w:rPr>
                <w:rFonts w:ascii="STIX" w:eastAsia="Times New Roman" w:hAnsi="STIX" w:cs="STIX MathJax Main"/>
                <w:sz w:val="18"/>
                <w:szCs w:val="18"/>
              </w:rPr>
              <w:t>335.95584861</w:t>
            </w:r>
          </w:p>
        </w:tc>
        <w:tc>
          <w:tcPr>
            <w:tcW w:w="0" w:type="auto"/>
            <w:tcBorders>
              <w:top w:val="nil"/>
              <w:left w:val="nil"/>
              <w:bottom w:val="nil"/>
              <w:right w:val="nil"/>
            </w:tcBorders>
            <w:noWrap/>
            <w:tcMar>
              <w:top w:w="15" w:type="dxa"/>
              <w:left w:w="15" w:type="dxa"/>
              <w:bottom w:w="0" w:type="dxa"/>
              <w:right w:w="15" w:type="dxa"/>
            </w:tcMar>
            <w:vAlign w:val="center"/>
          </w:tcPr>
          <w:p w:rsidR="007751C5" w:rsidRPr="007751C5" w:rsidRDefault="007751C5" w:rsidP="007751C5">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noWrap/>
            <w:tcMar>
              <w:top w:w="15" w:type="dxa"/>
              <w:left w:w="15" w:type="dxa"/>
              <w:bottom w:w="0" w:type="dxa"/>
              <w:right w:w="15" w:type="dxa"/>
            </w:tcMar>
            <w:vAlign w:val="center"/>
          </w:tcPr>
          <w:p w:rsidR="007751C5" w:rsidRPr="007751C5" w:rsidRDefault="007751C5" w:rsidP="007751C5">
            <w:pPr>
              <w:spacing w:after="0" w:line="240" w:lineRule="auto"/>
              <w:jc w:val="center"/>
              <w:rPr>
                <w:rFonts w:ascii="STIX MathJax Main" w:eastAsia="Times New Roman" w:hAnsi="STIX MathJax Main" w:cs="STIX MathJax Main"/>
                <w:sz w:val="18"/>
                <w:szCs w:val="18"/>
              </w:rPr>
            </w:pPr>
          </w:p>
        </w:tc>
      </w:tr>
      <w:tr w:rsidR="007751C5" w:rsidRPr="007751C5" w:rsidTr="00FF7247">
        <w:trPr>
          <w:trHeight w:val="265"/>
        </w:trPr>
        <w:tc>
          <w:tcPr>
            <w:tcW w:w="0" w:type="auto"/>
            <w:tcBorders>
              <w:top w:val="nil"/>
              <w:left w:val="nil"/>
              <w:bottom w:val="nil"/>
              <w:right w:val="nil"/>
            </w:tcBorders>
            <w:noWrap/>
            <w:tcMar>
              <w:top w:w="15" w:type="dxa"/>
              <w:left w:w="15" w:type="dxa"/>
              <w:bottom w:w="0" w:type="dxa"/>
              <w:right w:w="15" w:type="dxa"/>
            </w:tcMar>
            <w:vAlign w:val="center"/>
          </w:tcPr>
          <w:p w:rsidR="007751C5" w:rsidRPr="007751C5" w:rsidRDefault="007751C5" w:rsidP="007751C5">
            <w:pPr>
              <w:spacing w:after="0" w:line="240" w:lineRule="auto"/>
              <w:jc w:val="center"/>
              <w:rPr>
                <w:rFonts w:ascii="STIX MathJax Main" w:eastAsia="Times New Roman" w:hAnsi="STIX MathJax Main" w:cs="STIX MathJax Main"/>
                <w:sz w:val="18"/>
                <w:szCs w:val="18"/>
              </w:rPr>
            </w:pPr>
            <w:r w:rsidRPr="007751C5">
              <w:rPr>
                <w:rFonts w:ascii="STIX" w:eastAsia="Times New Roman" w:hAnsi="STIX" w:cs="STIX MathJax Main"/>
                <w:sz w:val="18"/>
                <w:szCs w:val="18"/>
              </w:rPr>
              <w:t>8</w:t>
            </w:r>
          </w:p>
        </w:tc>
        <w:tc>
          <w:tcPr>
            <w:tcW w:w="0" w:type="auto"/>
            <w:tcBorders>
              <w:top w:val="nil"/>
              <w:left w:val="nil"/>
              <w:bottom w:val="nil"/>
              <w:right w:val="nil"/>
            </w:tcBorders>
            <w:noWrap/>
            <w:tcMar>
              <w:top w:w="15" w:type="dxa"/>
              <w:left w:w="15" w:type="dxa"/>
              <w:bottom w:w="0" w:type="dxa"/>
              <w:right w:w="15" w:type="dxa"/>
            </w:tcMar>
            <w:vAlign w:val="center"/>
          </w:tcPr>
          <w:p w:rsidR="007751C5" w:rsidRPr="007751C5" w:rsidRDefault="007751C5" w:rsidP="007751C5">
            <w:pPr>
              <w:spacing w:after="0" w:line="240" w:lineRule="auto"/>
              <w:jc w:val="center"/>
              <w:rPr>
                <w:rFonts w:ascii="STIX MathJax Main" w:eastAsia="Times New Roman" w:hAnsi="STIX MathJax Main" w:cs="STIX MathJax Main"/>
                <w:sz w:val="18"/>
                <w:szCs w:val="18"/>
              </w:rPr>
            </w:pPr>
            <w:r w:rsidRPr="007751C5">
              <w:rPr>
                <w:rFonts w:ascii="STIX" w:eastAsia="Times New Roman" w:hAnsi="STIX" w:cs="STIX MathJax Main"/>
                <w:sz w:val="18"/>
                <w:szCs w:val="18"/>
              </w:rPr>
              <w:t>337.21448491</w:t>
            </w:r>
          </w:p>
        </w:tc>
        <w:tc>
          <w:tcPr>
            <w:tcW w:w="0" w:type="auto"/>
            <w:tcBorders>
              <w:top w:val="nil"/>
              <w:left w:val="nil"/>
              <w:bottom w:val="nil"/>
              <w:right w:val="nil"/>
            </w:tcBorders>
            <w:noWrap/>
            <w:tcMar>
              <w:top w:w="15" w:type="dxa"/>
              <w:left w:w="15" w:type="dxa"/>
              <w:bottom w:w="0" w:type="dxa"/>
              <w:right w:w="15" w:type="dxa"/>
            </w:tcMar>
            <w:vAlign w:val="center"/>
          </w:tcPr>
          <w:p w:rsidR="007751C5" w:rsidRPr="007751C5" w:rsidRDefault="007751C5" w:rsidP="007751C5">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noWrap/>
            <w:tcMar>
              <w:top w:w="15" w:type="dxa"/>
              <w:left w:w="15" w:type="dxa"/>
              <w:bottom w:w="0" w:type="dxa"/>
              <w:right w:w="15" w:type="dxa"/>
            </w:tcMar>
            <w:vAlign w:val="center"/>
          </w:tcPr>
          <w:p w:rsidR="007751C5" w:rsidRPr="007751C5" w:rsidRDefault="007751C5" w:rsidP="007751C5">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noWrap/>
            <w:tcMar>
              <w:top w:w="15" w:type="dxa"/>
              <w:left w:w="15" w:type="dxa"/>
              <w:bottom w:w="0" w:type="dxa"/>
              <w:right w:w="15" w:type="dxa"/>
            </w:tcMar>
            <w:vAlign w:val="center"/>
          </w:tcPr>
          <w:p w:rsidR="007751C5" w:rsidRPr="007751C5" w:rsidRDefault="007751C5" w:rsidP="007751C5">
            <w:pPr>
              <w:spacing w:after="0" w:line="240" w:lineRule="auto"/>
              <w:jc w:val="center"/>
              <w:rPr>
                <w:rFonts w:ascii="STIX MathJax Main" w:eastAsia="Times New Roman" w:hAnsi="STIX MathJax Main" w:cs="STIX MathJax Main"/>
                <w:sz w:val="18"/>
                <w:szCs w:val="18"/>
              </w:rPr>
            </w:pPr>
          </w:p>
        </w:tc>
      </w:tr>
    </w:tbl>
    <w:p w:rsidR="007751C5" w:rsidRPr="007751C5" w:rsidRDefault="007751C5" w:rsidP="007751C5">
      <w:pPr>
        <w:spacing w:after="0" w:line="240" w:lineRule="auto"/>
        <w:rPr>
          <w:rFonts w:ascii="STIX" w:eastAsia="Times New Roman" w:hAnsi="STIX"/>
          <w:sz w:val="20"/>
          <w:szCs w:val="24"/>
        </w:rPr>
      </w:pPr>
      <w:r w:rsidRPr="007751C5">
        <w:rPr>
          <w:rFonts w:ascii="STIX" w:eastAsia="Times New Roman" w:hAnsi="STIX"/>
          <w:sz w:val="20"/>
          <w:szCs w:val="24"/>
        </w:rPr>
        <w:br/>
      </w:r>
      <w:r w:rsidRPr="007751C5">
        <w:rPr>
          <w:rFonts w:ascii="STIX" w:eastAsia="Times New Roman" w:hAnsi="STIX"/>
          <w:b/>
          <w:sz w:val="20"/>
          <w:szCs w:val="24"/>
        </w:rPr>
        <w:t>(b)</w:t>
      </w:r>
      <w:r w:rsidRPr="007751C5">
        <w:rPr>
          <w:rFonts w:ascii="STIX" w:eastAsia="Times New Roman" w:hAnsi="STIX"/>
          <w:sz w:val="20"/>
          <w:szCs w:val="24"/>
        </w:rPr>
        <w:t xml:space="preserve"> </w:t>
      </w:r>
    </w:p>
    <w:p w:rsidR="007751C5" w:rsidRPr="007751C5" w:rsidRDefault="007751C5" w:rsidP="007751C5">
      <w:pPr>
        <w:spacing w:after="0" w:line="240" w:lineRule="auto"/>
        <w:ind w:right="-720"/>
        <w:rPr>
          <w:rFonts w:ascii="Courier New" w:eastAsia="Times New Roman" w:hAnsi="Courier New" w:cs="Courier New"/>
          <w:sz w:val="18"/>
          <w:szCs w:val="24"/>
        </w:rPr>
      </w:pPr>
      <w:r w:rsidRPr="007751C5">
        <w:rPr>
          <w:rFonts w:ascii="Courier New" w:eastAsia="Times New Roman" w:hAnsi="Courier New" w:cs="Courier New"/>
          <w:sz w:val="18"/>
          <w:szCs w:val="24"/>
        </w:rPr>
        <w:t>&gt;&gt; format long g</w:t>
      </w:r>
    </w:p>
    <w:p w:rsidR="007751C5" w:rsidRPr="007751C5" w:rsidRDefault="007751C5" w:rsidP="007751C5">
      <w:pPr>
        <w:spacing w:after="0" w:line="240" w:lineRule="auto"/>
        <w:ind w:right="-720"/>
        <w:rPr>
          <w:rFonts w:ascii="Courier New" w:eastAsia="Times New Roman" w:hAnsi="Courier New" w:cs="Courier New"/>
          <w:sz w:val="18"/>
          <w:szCs w:val="24"/>
        </w:rPr>
      </w:pPr>
      <w:r w:rsidRPr="007751C5">
        <w:rPr>
          <w:rFonts w:ascii="Courier New" w:eastAsia="Times New Roman" w:hAnsi="Courier New" w:cs="Courier New"/>
          <w:sz w:val="18"/>
          <w:szCs w:val="24"/>
        </w:rPr>
        <w:t>&gt;&gt; Qc = @(t) (9+5*cos(0.4*t).^2).*(5*exp(-0.5*t)+2*exp(0.15*t));</w:t>
      </w:r>
    </w:p>
    <w:p w:rsidR="007751C5" w:rsidRPr="007751C5" w:rsidRDefault="007751C5" w:rsidP="007751C5">
      <w:pPr>
        <w:spacing w:after="0" w:line="240" w:lineRule="auto"/>
        <w:ind w:right="-720"/>
        <w:rPr>
          <w:rFonts w:ascii="Courier New" w:eastAsia="Times New Roman" w:hAnsi="Courier New" w:cs="Courier New"/>
          <w:sz w:val="18"/>
          <w:szCs w:val="24"/>
        </w:rPr>
      </w:pPr>
      <w:r w:rsidRPr="007751C5">
        <w:rPr>
          <w:rFonts w:ascii="Courier New" w:eastAsia="Times New Roman" w:hAnsi="Courier New" w:cs="Courier New"/>
          <w:sz w:val="18"/>
          <w:szCs w:val="24"/>
        </w:rPr>
        <w:t>&gt;&gt; I=integral(Qc,2,8)</w:t>
      </w:r>
    </w:p>
    <w:p w:rsidR="007751C5" w:rsidRPr="007751C5" w:rsidRDefault="007751C5" w:rsidP="007751C5">
      <w:pPr>
        <w:spacing w:after="0" w:line="240" w:lineRule="auto"/>
        <w:ind w:right="-720"/>
        <w:rPr>
          <w:rFonts w:ascii="Courier New" w:eastAsia="Times New Roman" w:hAnsi="Courier New" w:cs="Courier New"/>
          <w:sz w:val="18"/>
          <w:szCs w:val="24"/>
        </w:rPr>
      </w:pPr>
    </w:p>
    <w:p w:rsidR="007751C5" w:rsidRPr="007751C5" w:rsidRDefault="007751C5" w:rsidP="007751C5">
      <w:pPr>
        <w:spacing w:after="0" w:line="240" w:lineRule="auto"/>
        <w:ind w:right="-720"/>
        <w:rPr>
          <w:rFonts w:ascii="Courier New" w:eastAsia="Times New Roman" w:hAnsi="Courier New" w:cs="Courier New"/>
          <w:sz w:val="18"/>
          <w:szCs w:val="24"/>
        </w:rPr>
      </w:pPr>
      <w:r w:rsidRPr="007751C5">
        <w:rPr>
          <w:rFonts w:ascii="Courier New" w:eastAsia="Times New Roman" w:hAnsi="Courier New" w:cs="Courier New"/>
          <w:sz w:val="18"/>
          <w:szCs w:val="24"/>
        </w:rPr>
        <w:t>I =</w:t>
      </w:r>
    </w:p>
    <w:p w:rsidR="007751C5" w:rsidRPr="007751C5" w:rsidRDefault="007751C5" w:rsidP="007751C5">
      <w:pPr>
        <w:spacing w:after="0" w:line="240" w:lineRule="auto"/>
        <w:ind w:right="-720"/>
        <w:rPr>
          <w:rFonts w:ascii="Courier New" w:eastAsia="Times New Roman" w:hAnsi="Courier New" w:cs="Courier New"/>
          <w:sz w:val="18"/>
          <w:szCs w:val="24"/>
        </w:rPr>
      </w:pPr>
      <w:r w:rsidRPr="007751C5">
        <w:rPr>
          <w:rFonts w:ascii="Courier New" w:eastAsia="Times New Roman" w:hAnsi="Courier New" w:cs="Courier New"/>
          <w:sz w:val="18"/>
          <w:szCs w:val="24"/>
        </w:rPr>
        <w:t xml:space="preserve">          335.962530076433</w:t>
      </w:r>
    </w:p>
    <w:p w:rsidR="00BC0028" w:rsidRPr="00600E9B" w:rsidRDefault="00BC0028" w:rsidP="007751C5">
      <w:pPr>
        <w:autoSpaceDE w:val="0"/>
        <w:autoSpaceDN w:val="0"/>
        <w:adjustRightInd w:val="0"/>
        <w:spacing w:after="0" w:line="240" w:lineRule="auto"/>
        <w:rPr>
          <w:rFonts w:ascii="Courier New" w:eastAsia="Times New Roman" w:hAnsi="Courier New" w:cs="Courier New"/>
          <w:sz w:val="18"/>
          <w:szCs w:val="24"/>
        </w:rPr>
      </w:pPr>
    </w:p>
    <w:sectPr w:rsidR="00BC0028" w:rsidRPr="00600E9B"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FB3A4-0A0F-4A90-B365-841E98489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75</Words>
  <Characters>433</Characters>
  <Application>Microsoft Office Word</Application>
  <DocSecurity>0</DocSecurity>
  <Lines>3</Lines>
  <Paragraphs>1</Paragraphs>
  <ScaleCrop>false</ScaleCrop>
  <Company/>
  <LinksUpToDate>false</LinksUpToDate>
  <CharactersWithSpaces>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2017-03-31T17:40:00Z</dcterms:created>
  <dcterms:modified xsi:type="dcterms:W3CDTF">2017-03-31T17:40:00Z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