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A4EB0" w:rsidRDefault="00512B6C" w:rsidP="008A4EB0">
      <w:pPr>
        <w:pStyle w:val="Default"/>
        <w:ind w:right="-450"/>
        <w:rPr>
          <w:b/>
        </w:rPr>
      </w:pPr>
      <w:r w:rsidRPr="008A4EB0">
        <w:rPr>
          <w:b/>
        </w:rPr>
        <w:t xml:space="preserve">Problem </w:t>
      </w:r>
      <w:r w:rsidR="00677803" w:rsidRPr="008A4EB0">
        <w:rPr>
          <w:b/>
        </w:rPr>
        <w:t>2</w:t>
      </w:r>
      <w:r w:rsidR="008A4EB0" w:rsidRPr="008A4EB0">
        <w:rPr>
          <w:b/>
        </w:rPr>
        <w:t>1.22</w:t>
      </w:r>
    </w:p>
    <w:p w:rsidR="008A4EB0" w:rsidRPr="008A4EB0" w:rsidRDefault="008A4EB0" w:rsidP="008A4EB0">
      <w:pPr>
        <w:autoSpaceDE w:val="0"/>
        <w:autoSpaceDN w:val="0"/>
        <w:adjustRightInd w:val="0"/>
        <w:spacing w:after="0" w:line="240" w:lineRule="auto"/>
        <w:rPr>
          <w:rFonts w:ascii="STIX" w:hAnsi="STIX" w:cs="STIX"/>
          <w:color w:val="000000"/>
          <w:sz w:val="24"/>
          <w:szCs w:val="24"/>
        </w:rPr>
      </w:pPr>
    </w:p>
    <w:p w:rsidR="008A4EB0" w:rsidRPr="008A4EB0" w:rsidRDefault="008A4EB0" w:rsidP="008A4EB0">
      <w:pPr>
        <w:autoSpaceDE w:val="0"/>
        <w:autoSpaceDN w:val="0"/>
        <w:adjustRightInd w:val="0"/>
        <w:spacing w:after="0" w:line="180" w:lineRule="atLeast"/>
        <w:rPr>
          <w:rFonts w:ascii="STIX" w:hAnsi="STIX" w:cs="STIX"/>
          <w:color w:val="211D1E"/>
          <w:sz w:val="24"/>
          <w:szCs w:val="18"/>
        </w:rPr>
      </w:pPr>
      <w:r w:rsidRPr="008A4EB0">
        <w:rPr>
          <w:rFonts w:ascii="STIX" w:hAnsi="STIX" w:cs="STIX"/>
          <w:i/>
          <w:iCs/>
          <w:color w:val="211D1E"/>
          <w:sz w:val="24"/>
          <w:szCs w:val="18"/>
        </w:rPr>
        <w:t xml:space="preserve">Fick’s first diffusion law </w:t>
      </w:r>
      <w:r w:rsidRPr="008A4EB0">
        <w:rPr>
          <w:rFonts w:ascii="STIX" w:hAnsi="STIX" w:cs="STIX"/>
          <w:color w:val="211D1E"/>
          <w:sz w:val="24"/>
          <w:szCs w:val="18"/>
        </w:rPr>
        <w:t xml:space="preserve">states that </w:t>
      </w:r>
    </w:p>
    <w:p w:rsidR="008A4EB0" w:rsidRDefault="008A4EB0" w:rsidP="008A4EB0">
      <w:pPr>
        <w:autoSpaceDE w:val="0"/>
        <w:autoSpaceDN w:val="0"/>
        <w:adjustRightInd w:val="0"/>
        <w:spacing w:after="0" w:line="180" w:lineRule="atLeast"/>
        <w:jc w:val="center"/>
        <w:rPr>
          <w:rFonts w:ascii="STIX" w:hAnsi="STIX" w:cs="STIX"/>
          <w:color w:val="211D1E"/>
          <w:sz w:val="24"/>
          <w:szCs w:val="18"/>
        </w:rPr>
      </w:pPr>
      <w:r w:rsidRPr="008A4EB0">
        <w:rPr>
          <w:rFonts w:ascii="STIX" w:hAnsi="STIX" w:cs="STIX"/>
          <w:color w:val="211D1E"/>
          <w:position w:val="-24"/>
          <w:sz w:val="24"/>
          <w:szCs w:val="18"/>
        </w:rPr>
        <w:object w:dxaOrig="22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2" type="#_x0000_t75" style="width:114pt;height:32.25pt" o:ole="">
            <v:imagedata r:id="rId7" o:title=""/>
          </v:shape>
          <o:OLEObject Type="Embed" ProgID="Equation.DSMT4" ShapeID="_x0000_i1512" DrawAspect="Content" ObjectID="_1551515173" r:id="rId8"/>
        </w:object>
      </w:r>
      <w:r>
        <w:rPr>
          <w:rFonts w:ascii="STIX" w:hAnsi="STIX" w:cs="STIX"/>
          <w:color w:val="211D1E"/>
          <w:sz w:val="24"/>
          <w:szCs w:val="18"/>
        </w:rPr>
        <w:t xml:space="preserve">           </w:t>
      </w:r>
      <w:r w:rsidRPr="008A4EB0">
        <w:rPr>
          <w:rFonts w:ascii="STIX" w:hAnsi="STIX" w:cs="STIX"/>
          <w:color w:val="211D1E"/>
          <w:position w:val="-14"/>
          <w:sz w:val="24"/>
          <w:szCs w:val="18"/>
        </w:rPr>
        <w:object w:dxaOrig="960" w:dyaOrig="400">
          <v:shape id="_x0000_i1513" type="#_x0000_t75" style="width:48pt;height:20.25pt" o:ole="">
            <v:imagedata r:id="rId9" o:title=""/>
          </v:shape>
          <o:OLEObject Type="Embed" ProgID="Equation.DSMT4" ShapeID="_x0000_i1513" DrawAspect="Content" ObjectID="_1551515174" r:id="rId10"/>
        </w:object>
      </w:r>
    </w:p>
    <w:p w:rsidR="008A4EB0" w:rsidRPr="008A4EB0" w:rsidRDefault="008A4EB0" w:rsidP="008A4EB0">
      <w:pPr>
        <w:autoSpaceDE w:val="0"/>
        <w:autoSpaceDN w:val="0"/>
        <w:adjustRightInd w:val="0"/>
        <w:spacing w:after="0" w:line="180" w:lineRule="atLeast"/>
        <w:rPr>
          <w:rFonts w:ascii="STIX" w:hAnsi="STIX" w:cs="STIX"/>
          <w:color w:val="211D1E"/>
          <w:sz w:val="24"/>
          <w:szCs w:val="18"/>
        </w:rPr>
      </w:pPr>
      <w:r w:rsidRPr="008A4EB0">
        <w:rPr>
          <w:rFonts w:ascii="STIX" w:hAnsi="STIX" w:cs="STIX"/>
          <w:color w:val="211D1E"/>
          <w:sz w:val="24"/>
          <w:szCs w:val="18"/>
        </w:rPr>
        <w:t>where mass flux = the quantity of mass that passes across a unit area per unit time (g/cm</w:t>
      </w:r>
      <w:r w:rsidRPr="008A4EB0">
        <w:rPr>
          <w:rFonts w:ascii="STIX" w:hAnsi="STIX" w:cs="STIX"/>
          <w:color w:val="211D1E"/>
          <w:sz w:val="32"/>
          <w:vertAlign w:val="superscript"/>
        </w:rPr>
        <w:t>2</w:t>
      </w:r>
      <w:r w:rsidRPr="008A4EB0">
        <w:rPr>
          <w:rFonts w:ascii="STIX" w:hAnsi="STIX" w:cs="STIX"/>
          <w:color w:val="211D1E"/>
          <w:sz w:val="24"/>
          <w:szCs w:val="18"/>
        </w:rPr>
        <w:t xml:space="preserve">/s), </w:t>
      </w:r>
      <w:r w:rsidRPr="008A4EB0">
        <w:rPr>
          <w:rFonts w:ascii="STIX" w:hAnsi="STIX" w:cs="STIX"/>
          <w:i/>
          <w:iCs/>
          <w:color w:val="211D1E"/>
          <w:sz w:val="24"/>
          <w:szCs w:val="18"/>
        </w:rPr>
        <w:t xml:space="preserve">D </w:t>
      </w:r>
      <w:r w:rsidRPr="008A4EB0">
        <w:rPr>
          <w:rFonts w:ascii="STIX" w:hAnsi="STIX" w:cs="STIX"/>
          <w:color w:val="211D1E"/>
          <w:sz w:val="24"/>
          <w:szCs w:val="18"/>
        </w:rPr>
        <w:t>= a diffusion coef</w:t>
      </w:r>
      <w:r w:rsidRPr="008A4EB0">
        <w:rPr>
          <w:rFonts w:ascii="STIX" w:hAnsi="STIX" w:cs="STIX"/>
          <w:color w:val="211D1E"/>
          <w:sz w:val="24"/>
          <w:szCs w:val="18"/>
        </w:rPr>
        <w:softHyphen/>
        <w:t>ficient (cm</w:t>
      </w:r>
      <w:r w:rsidRPr="008A4EB0">
        <w:rPr>
          <w:rFonts w:ascii="STIX" w:hAnsi="STIX" w:cs="STIX"/>
          <w:color w:val="211D1E"/>
          <w:sz w:val="32"/>
          <w:vertAlign w:val="superscript"/>
        </w:rPr>
        <w:t>2</w:t>
      </w:r>
      <w:r w:rsidRPr="008A4EB0">
        <w:rPr>
          <w:rFonts w:ascii="STIX" w:hAnsi="STIX" w:cs="STIX"/>
          <w:color w:val="211D1E"/>
          <w:sz w:val="24"/>
          <w:szCs w:val="18"/>
        </w:rPr>
        <w:t xml:space="preserve">/s), </w:t>
      </w:r>
      <w:r w:rsidRPr="008A4EB0">
        <w:rPr>
          <w:rFonts w:ascii="STIX" w:hAnsi="STIX" w:cs="STIX"/>
          <w:i/>
          <w:iCs/>
          <w:color w:val="211D1E"/>
          <w:sz w:val="24"/>
          <w:szCs w:val="18"/>
        </w:rPr>
        <w:t xml:space="preserve">c </w:t>
      </w:r>
      <w:r w:rsidRPr="008A4EB0">
        <w:rPr>
          <w:rFonts w:ascii="STIX" w:hAnsi="STIX" w:cs="STIX"/>
          <w:color w:val="211D1E"/>
          <w:sz w:val="24"/>
          <w:szCs w:val="18"/>
        </w:rPr>
        <w:t>= concentration (g/cm</w:t>
      </w:r>
      <w:r w:rsidRPr="008A4EB0">
        <w:rPr>
          <w:rFonts w:ascii="STIX" w:hAnsi="STIX" w:cs="STIX"/>
          <w:color w:val="211D1E"/>
          <w:sz w:val="32"/>
          <w:vertAlign w:val="superscript"/>
        </w:rPr>
        <w:t>3</w:t>
      </w:r>
      <w:r w:rsidRPr="008A4EB0">
        <w:rPr>
          <w:rFonts w:ascii="STIX" w:hAnsi="STIX" w:cs="STIX"/>
          <w:color w:val="211D1E"/>
          <w:sz w:val="24"/>
          <w:szCs w:val="18"/>
        </w:rPr>
        <w:t xml:space="preserve">), and </w:t>
      </w:r>
      <w:r w:rsidRPr="008A4EB0">
        <w:rPr>
          <w:rFonts w:ascii="STIX" w:hAnsi="STIX" w:cs="STIX"/>
          <w:i/>
          <w:iCs/>
          <w:color w:val="211D1E"/>
          <w:sz w:val="24"/>
          <w:szCs w:val="18"/>
        </w:rPr>
        <w:t xml:space="preserve">x </w:t>
      </w:r>
      <w:r w:rsidRPr="008A4EB0">
        <w:rPr>
          <w:rFonts w:ascii="STIX" w:hAnsi="STIX" w:cs="STIX"/>
          <w:color w:val="211D1E"/>
          <w:sz w:val="24"/>
          <w:szCs w:val="18"/>
        </w:rPr>
        <w:t>= distance (cm). An environmental engineer measures the following concentration of a pollutant in the pore waters of sediments underlying a lake (</w:t>
      </w:r>
      <w:r w:rsidRPr="008A4EB0">
        <w:rPr>
          <w:rFonts w:ascii="STIX" w:hAnsi="STIX" w:cs="STIX"/>
          <w:i/>
          <w:iCs/>
          <w:color w:val="211D1E"/>
          <w:sz w:val="24"/>
          <w:szCs w:val="18"/>
        </w:rPr>
        <w:t xml:space="preserve">x </w:t>
      </w:r>
      <w:r w:rsidRPr="008A4EB0">
        <w:rPr>
          <w:rFonts w:ascii="STIX" w:hAnsi="STIX" w:cs="STIX"/>
          <w:color w:val="211D1E"/>
          <w:sz w:val="24"/>
          <w:szCs w:val="18"/>
        </w:rPr>
        <w:t xml:space="preserve">= 0 at the sediment-water interface and increases downward):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2"/>
        <w:gridCol w:w="1792"/>
        <w:gridCol w:w="1793"/>
        <w:gridCol w:w="1793"/>
      </w:tblGrid>
      <w:tr w:rsidR="008A4EB0" w:rsidRPr="008A4EB0" w:rsidTr="008A4EB0">
        <w:trPr>
          <w:trHeight w:val="458"/>
        </w:trPr>
        <w:tc>
          <w:tcPr>
            <w:tcW w:w="1792" w:type="dxa"/>
          </w:tcPr>
          <w:p w:rsidR="008A4EB0" w:rsidRPr="008A4EB0" w:rsidRDefault="008A4EB0" w:rsidP="006B601A">
            <w:pPr>
              <w:autoSpaceDE w:val="0"/>
              <w:autoSpaceDN w:val="0"/>
              <w:adjustRightInd w:val="0"/>
              <w:spacing w:before="240" w:after="0" w:line="160" w:lineRule="atLeast"/>
              <w:rPr>
                <w:rFonts w:ascii="STIX" w:hAnsi="STIX" w:cs="STIX"/>
                <w:b/>
                <w:bCs/>
                <w:color w:val="211D1E"/>
                <w:sz w:val="24"/>
                <w:szCs w:val="16"/>
              </w:rPr>
            </w:pPr>
            <w:r w:rsidRPr="008A4EB0">
              <w:rPr>
                <w:rFonts w:ascii="STIX" w:hAnsi="STIX" w:cs="STIX"/>
                <w:b/>
                <w:bCs/>
                <w:i/>
                <w:iCs/>
                <w:color w:val="211D1E"/>
                <w:sz w:val="24"/>
                <w:szCs w:val="16"/>
              </w:rPr>
              <w:t>x,</w:t>
            </w:r>
            <w:r>
              <w:rPr>
                <w:rFonts w:ascii="STIX" w:hAnsi="STIX" w:cs="STIX"/>
                <w:b/>
                <w:bCs/>
                <w:i/>
                <w:iCs/>
                <w:color w:val="211D1E"/>
                <w:sz w:val="24"/>
                <w:szCs w:val="16"/>
              </w:rPr>
              <w:t xml:space="preserve"> </w:t>
            </w:r>
            <w:r w:rsidRPr="008A4EB0">
              <w:rPr>
                <w:rFonts w:ascii="STIX" w:hAnsi="STIX" w:cs="STIX"/>
                <w:b/>
                <w:bCs/>
                <w:color w:val="211D1E"/>
                <w:sz w:val="24"/>
                <w:szCs w:val="16"/>
              </w:rPr>
              <w:t>cm</w:t>
            </w:r>
          </w:p>
        </w:tc>
        <w:tc>
          <w:tcPr>
            <w:tcW w:w="1792" w:type="dxa"/>
          </w:tcPr>
          <w:p w:rsidR="008A4EB0" w:rsidRPr="008A4EB0" w:rsidRDefault="008A4EB0" w:rsidP="006B601A">
            <w:pPr>
              <w:autoSpaceDE w:val="0"/>
              <w:autoSpaceDN w:val="0"/>
              <w:adjustRightInd w:val="0"/>
              <w:spacing w:before="240" w:after="0" w:line="160" w:lineRule="atLeast"/>
              <w:rPr>
                <w:rFonts w:ascii="STIX" w:hAnsi="STIX" w:cs="STIX"/>
                <w:color w:val="211D1E"/>
                <w:sz w:val="24"/>
                <w:szCs w:val="16"/>
              </w:rPr>
            </w:pPr>
            <w:r w:rsidRPr="008A4EB0">
              <w:rPr>
                <w:rFonts w:ascii="STIX" w:hAnsi="STIX" w:cs="STIX"/>
                <w:color w:val="211D1E"/>
                <w:sz w:val="24"/>
                <w:szCs w:val="16"/>
              </w:rPr>
              <w:t>0</w:t>
            </w:r>
          </w:p>
        </w:tc>
        <w:tc>
          <w:tcPr>
            <w:tcW w:w="1793" w:type="dxa"/>
          </w:tcPr>
          <w:p w:rsidR="008A4EB0" w:rsidRPr="008A4EB0" w:rsidRDefault="008A4EB0" w:rsidP="006B601A">
            <w:pPr>
              <w:autoSpaceDE w:val="0"/>
              <w:autoSpaceDN w:val="0"/>
              <w:adjustRightInd w:val="0"/>
              <w:spacing w:before="240" w:after="0" w:line="160" w:lineRule="atLeast"/>
              <w:rPr>
                <w:rFonts w:ascii="STIX" w:hAnsi="STIX" w:cs="STIX"/>
                <w:color w:val="211D1E"/>
                <w:sz w:val="24"/>
                <w:szCs w:val="16"/>
              </w:rPr>
            </w:pPr>
            <w:r w:rsidRPr="008A4EB0">
              <w:rPr>
                <w:rFonts w:ascii="STIX" w:hAnsi="STIX" w:cs="STIX"/>
                <w:color w:val="211D1E"/>
                <w:sz w:val="24"/>
                <w:szCs w:val="16"/>
              </w:rPr>
              <w:t>1</w:t>
            </w:r>
          </w:p>
        </w:tc>
        <w:tc>
          <w:tcPr>
            <w:tcW w:w="1793" w:type="dxa"/>
          </w:tcPr>
          <w:p w:rsidR="008A4EB0" w:rsidRPr="008A4EB0" w:rsidRDefault="008A4EB0" w:rsidP="006B601A">
            <w:pPr>
              <w:autoSpaceDE w:val="0"/>
              <w:autoSpaceDN w:val="0"/>
              <w:adjustRightInd w:val="0"/>
              <w:spacing w:before="240" w:after="0" w:line="160" w:lineRule="atLeast"/>
              <w:rPr>
                <w:rFonts w:ascii="STIX" w:hAnsi="STIX" w:cs="STIX"/>
                <w:color w:val="211D1E"/>
                <w:sz w:val="24"/>
                <w:szCs w:val="16"/>
              </w:rPr>
            </w:pPr>
            <w:r w:rsidRPr="008A4EB0">
              <w:rPr>
                <w:rFonts w:ascii="STIX" w:hAnsi="STIX" w:cs="STIX"/>
                <w:color w:val="211D1E"/>
                <w:sz w:val="24"/>
                <w:szCs w:val="16"/>
              </w:rPr>
              <w:t>3</w:t>
            </w:r>
          </w:p>
        </w:tc>
      </w:tr>
      <w:tr w:rsidR="008A4EB0" w:rsidRPr="008A4EB0" w:rsidTr="008A4EB0">
        <w:trPr>
          <w:trHeight w:val="611"/>
        </w:trPr>
        <w:tc>
          <w:tcPr>
            <w:tcW w:w="1792" w:type="dxa"/>
          </w:tcPr>
          <w:p w:rsidR="008A4EB0" w:rsidRPr="008A4EB0" w:rsidRDefault="008A4EB0" w:rsidP="006B601A">
            <w:pPr>
              <w:autoSpaceDE w:val="0"/>
              <w:autoSpaceDN w:val="0"/>
              <w:adjustRightInd w:val="0"/>
              <w:spacing w:after="320" w:line="160" w:lineRule="atLeast"/>
              <w:rPr>
                <w:rFonts w:ascii="STIX" w:hAnsi="STIX" w:cs="STIX"/>
                <w:b/>
                <w:bCs/>
                <w:color w:val="211D1E"/>
                <w:sz w:val="24"/>
                <w:szCs w:val="10"/>
              </w:rPr>
            </w:pPr>
            <w:r w:rsidRPr="008A4EB0">
              <w:rPr>
                <w:rFonts w:ascii="STIX" w:hAnsi="STIX" w:cs="STIX"/>
                <w:b/>
                <w:bCs/>
                <w:i/>
                <w:iCs/>
                <w:color w:val="211D1E"/>
                <w:sz w:val="24"/>
                <w:szCs w:val="16"/>
              </w:rPr>
              <w:t>c,</w:t>
            </w:r>
            <w:r>
              <w:rPr>
                <w:rFonts w:ascii="STIX" w:hAnsi="STIX" w:cs="STIX"/>
                <w:b/>
                <w:bCs/>
                <w:i/>
                <w:iCs/>
                <w:color w:val="211D1E"/>
                <w:sz w:val="24"/>
                <w:szCs w:val="16"/>
              </w:rPr>
              <w:t xml:space="preserve"> </w:t>
            </w:r>
            <w:r w:rsidRPr="008A4EB0">
              <w:rPr>
                <w:rFonts w:ascii="STIX" w:hAnsi="STIX" w:cs="STIX"/>
                <w:b/>
                <w:bCs/>
                <w:color w:val="211D1E"/>
                <w:sz w:val="24"/>
                <w:szCs w:val="16"/>
              </w:rPr>
              <w:t>10</w:t>
            </w:r>
            <w:r w:rsidRPr="008A4EB0">
              <w:rPr>
                <w:rFonts w:ascii="STIX" w:hAnsi="STIX" w:cs="STIX"/>
                <w:b/>
                <w:bCs/>
                <w:color w:val="211D1E"/>
                <w:sz w:val="32"/>
                <w:szCs w:val="10"/>
                <w:vertAlign w:val="superscript"/>
              </w:rPr>
              <w:t>−6</w:t>
            </w:r>
            <w:r>
              <w:rPr>
                <w:rFonts w:ascii="STIX" w:hAnsi="STIX" w:cs="STIX"/>
                <w:b/>
                <w:bCs/>
                <w:color w:val="211D1E"/>
                <w:sz w:val="32"/>
                <w:szCs w:val="10"/>
                <w:vertAlign w:val="superscript"/>
              </w:rPr>
              <w:t xml:space="preserve"> </w:t>
            </w:r>
            <w:r w:rsidRPr="008A4EB0">
              <w:rPr>
                <w:rFonts w:ascii="STIX" w:hAnsi="STIX" w:cs="STIX"/>
                <w:b/>
                <w:bCs/>
                <w:color w:val="211D1E"/>
                <w:sz w:val="24"/>
                <w:szCs w:val="16"/>
              </w:rPr>
              <w:t>g/cm</w:t>
            </w:r>
            <w:r w:rsidRPr="008A4EB0">
              <w:rPr>
                <w:rFonts w:ascii="STIX" w:hAnsi="STIX" w:cs="STIX"/>
                <w:b/>
                <w:bCs/>
                <w:color w:val="211D1E"/>
                <w:sz w:val="32"/>
                <w:szCs w:val="10"/>
                <w:vertAlign w:val="superscript"/>
              </w:rPr>
              <w:t>3</w:t>
            </w:r>
          </w:p>
        </w:tc>
        <w:tc>
          <w:tcPr>
            <w:tcW w:w="1792" w:type="dxa"/>
          </w:tcPr>
          <w:p w:rsidR="008A4EB0" w:rsidRPr="008A4EB0" w:rsidRDefault="008A4EB0" w:rsidP="006B601A">
            <w:pPr>
              <w:autoSpaceDE w:val="0"/>
              <w:autoSpaceDN w:val="0"/>
              <w:adjustRightInd w:val="0"/>
              <w:spacing w:after="320" w:line="160" w:lineRule="atLeast"/>
              <w:rPr>
                <w:rFonts w:ascii="STIX" w:hAnsi="STIX" w:cs="STIX"/>
                <w:color w:val="211D1E"/>
                <w:sz w:val="24"/>
                <w:szCs w:val="16"/>
              </w:rPr>
            </w:pPr>
            <w:r w:rsidRPr="008A4EB0">
              <w:rPr>
                <w:rFonts w:ascii="STIX" w:hAnsi="STIX" w:cs="STIX"/>
                <w:color w:val="211D1E"/>
                <w:sz w:val="24"/>
                <w:szCs w:val="16"/>
              </w:rPr>
              <w:t>0.06</w:t>
            </w:r>
          </w:p>
        </w:tc>
        <w:tc>
          <w:tcPr>
            <w:tcW w:w="1793" w:type="dxa"/>
          </w:tcPr>
          <w:p w:rsidR="008A4EB0" w:rsidRPr="008A4EB0" w:rsidRDefault="008A4EB0" w:rsidP="006B601A">
            <w:pPr>
              <w:autoSpaceDE w:val="0"/>
              <w:autoSpaceDN w:val="0"/>
              <w:adjustRightInd w:val="0"/>
              <w:spacing w:after="320" w:line="160" w:lineRule="atLeast"/>
              <w:rPr>
                <w:rFonts w:ascii="STIX" w:hAnsi="STIX" w:cs="STIX"/>
                <w:color w:val="211D1E"/>
                <w:sz w:val="24"/>
                <w:szCs w:val="16"/>
              </w:rPr>
            </w:pPr>
            <w:r w:rsidRPr="008A4EB0">
              <w:rPr>
                <w:rFonts w:ascii="STIX" w:hAnsi="STIX" w:cs="STIX"/>
                <w:color w:val="211D1E"/>
                <w:sz w:val="24"/>
                <w:szCs w:val="16"/>
              </w:rPr>
              <w:t>0.32</w:t>
            </w:r>
          </w:p>
        </w:tc>
        <w:tc>
          <w:tcPr>
            <w:tcW w:w="1793" w:type="dxa"/>
          </w:tcPr>
          <w:p w:rsidR="008A4EB0" w:rsidRPr="008A4EB0" w:rsidRDefault="008A4EB0" w:rsidP="006B601A">
            <w:pPr>
              <w:autoSpaceDE w:val="0"/>
              <w:autoSpaceDN w:val="0"/>
              <w:adjustRightInd w:val="0"/>
              <w:spacing w:after="320" w:line="160" w:lineRule="atLeast"/>
              <w:rPr>
                <w:rFonts w:ascii="STIX" w:hAnsi="STIX" w:cs="STIX"/>
                <w:color w:val="211D1E"/>
                <w:sz w:val="24"/>
                <w:szCs w:val="16"/>
              </w:rPr>
            </w:pPr>
            <w:r w:rsidRPr="008A4EB0">
              <w:rPr>
                <w:rFonts w:ascii="STIX" w:hAnsi="STIX" w:cs="STIX"/>
                <w:color w:val="211D1E"/>
                <w:sz w:val="24"/>
                <w:szCs w:val="16"/>
              </w:rPr>
              <w:t>0.6</w:t>
            </w:r>
          </w:p>
        </w:tc>
      </w:tr>
    </w:tbl>
    <w:p w:rsidR="0017528B" w:rsidRPr="008A4EB0" w:rsidRDefault="008A4EB0" w:rsidP="008A4EB0">
      <w:pPr>
        <w:pStyle w:val="Default"/>
      </w:pPr>
      <w:r w:rsidRPr="008A4EB0">
        <w:rPr>
          <w:color w:val="211D1E"/>
          <w:szCs w:val="18"/>
        </w:rPr>
        <w:t xml:space="preserve">Use the best numerical differentiation technique available to estimate the derivative at </w:t>
      </w:r>
      <w:r w:rsidRPr="008A4EB0">
        <w:rPr>
          <w:i/>
          <w:iCs/>
          <w:color w:val="211D1E"/>
          <w:szCs w:val="18"/>
        </w:rPr>
        <w:t xml:space="preserve">x </w:t>
      </w:r>
      <w:r w:rsidRPr="008A4EB0">
        <w:rPr>
          <w:color w:val="211D1E"/>
          <w:szCs w:val="18"/>
        </w:rPr>
        <w:t>= 0. Employ this estimate in conjunction with Eq. (P21.22) to compute the mass flux of pollutant out of the sediments and into the overlying waters (</w:t>
      </w:r>
      <w:r w:rsidRPr="008A4EB0">
        <w:rPr>
          <w:i/>
          <w:iCs/>
          <w:color w:val="211D1E"/>
          <w:szCs w:val="18"/>
        </w:rPr>
        <w:t xml:space="preserve">D </w:t>
      </w:r>
      <w:r w:rsidRPr="008A4EB0">
        <w:rPr>
          <w:color w:val="211D1E"/>
          <w:szCs w:val="18"/>
        </w:rPr>
        <w:t>= 1.52 × 10</w:t>
      </w:r>
      <w:r w:rsidRPr="008A4EB0">
        <w:rPr>
          <w:color w:val="211D1E"/>
          <w:sz w:val="32"/>
          <w:vertAlign w:val="superscript"/>
        </w:rPr>
        <w:t>−6</w:t>
      </w:r>
      <w:r w:rsidRPr="008A4EB0">
        <w:rPr>
          <w:color w:val="211D1E"/>
        </w:rPr>
        <w:t xml:space="preserve"> </w:t>
      </w:r>
      <w:r w:rsidRPr="008A4EB0">
        <w:rPr>
          <w:color w:val="211D1E"/>
          <w:szCs w:val="18"/>
        </w:rPr>
        <w:t>cm</w:t>
      </w:r>
      <w:r w:rsidRPr="008A4EB0">
        <w:rPr>
          <w:color w:val="211D1E"/>
          <w:sz w:val="32"/>
          <w:vertAlign w:val="superscript"/>
        </w:rPr>
        <w:t>2</w:t>
      </w:r>
      <w:r w:rsidRPr="008A4EB0">
        <w:rPr>
          <w:color w:val="211D1E"/>
          <w:szCs w:val="18"/>
        </w:rPr>
        <w:t>/s). For a lake with 3.6 × 10</w:t>
      </w:r>
      <w:r w:rsidRPr="008A4EB0">
        <w:rPr>
          <w:color w:val="211D1E"/>
          <w:sz w:val="32"/>
          <w:vertAlign w:val="superscript"/>
        </w:rPr>
        <w:t>6</w:t>
      </w:r>
      <w:r w:rsidRPr="008A4EB0">
        <w:rPr>
          <w:color w:val="211D1E"/>
        </w:rPr>
        <w:t xml:space="preserve"> </w:t>
      </w:r>
      <w:r w:rsidRPr="008A4EB0">
        <w:rPr>
          <w:color w:val="211D1E"/>
          <w:szCs w:val="18"/>
        </w:rPr>
        <w:t>m</w:t>
      </w:r>
      <w:r w:rsidRPr="008A4EB0">
        <w:rPr>
          <w:color w:val="211D1E"/>
          <w:sz w:val="32"/>
          <w:vertAlign w:val="superscript"/>
        </w:rPr>
        <w:t>2</w:t>
      </w:r>
      <w:r w:rsidRPr="008A4EB0">
        <w:rPr>
          <w:color w:val="211D1E"/>
        </w:rPr>
        <w:t xml:space="preserve"> </w:t>
      </w:r>
      <w:r w:rsidRPr="008A4EB0">
        <w:rPr>
          <w:color w:val="211D1E"/>
          <w:szCs w:val="18"/>
        </w:rPr>
        <w:t>of sediments, how much pollutant would be transported into the lake over a year’s time?</w:t>
      </w:r>
    </w:p>
    <w:sectPr w:rsidR="0017528B" w:rsidRPr="008A4EB0"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2017-03-20T17:29:00Z</dcterms:created>
  <dcterms:modified xsi:type="dcterms:W3CDTF">2017-03-20T17:29:00Z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