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545759" w:rsidRDefault="00512B6C" w:rsidP="00545759">
      <w:pPr>
        <w:pStyle w:val="Default"/>
        <w:ind w:right="-450"/>
        <w:rPr>
          <w:b/>
        </w:rPr>
      </w:pPr>
      <w:r w:rsidRPr="00545759">
        <w:rPr>
          <w:b/>
        </w:rPr>
        <w:t xml:space="preserve">Problem </w:t>
      </w:r>
      <w:r w:rsidR="00677803" w:rsidRPr="00545759">
        <w:rPr>
          <w:b/>
        </w:rPr>
        <w:t>2</w:t>
      </w:r>
      <w:r w:rsidR="00545759">
        <w:rPr>
          <w:b/>
        </w:rPr>
        <w:t>1.24</w:t>
      </w:r>
    </w:p>
    <w:p w:rsidR="00545759" w:rsidRPr="00545759" w:rsidRDefault="00545759" w:rsidP="00545759">
      <w:pPr>
        <w:autoSpaceDE w:val="0"/>
        <w:autoSpaceDN w:val="0"/>
        <w:adjustRightInd w:val="0"/>
        <w:spacing w:after="0" w:line="240" w:lineRule="auto"/>
        <w:rPr>
          <w:rFonts w:ascii="STIX" w:hAnsi="STIX" w:cs="STIX"/>
          <w:color w:val="000000"/>
          <w:sz w:val="24"/>
          <w:szCs w:val="24"/>
        </w:rPr>
      </w:pPr>
    </w:p>
    <w:p w:rsidR="00545759" w:rsidRPr="00545759" w:rsidRDefault="00545759" w:rsidP="00545759">
      <w:pPr>
        <w:autoSpaceDE w:val="0"/>
        <w:autoSpaceDN w:val="0"/>
        <w:adjustRightInd w:val="0"/>
        <w:spacing w:after="0" w:line="180" w:lineRule="atLeast"/>
        <w:rPr>
          <w:rFonts w:ascii="STIX" w:hAnsi="STIX" w:cs="STIX"/>
          <w:color w:val="211D1E"/>
          <w:sz w:val="24"/>
          <w:szCs w:val="18"/>
        </w:rPr>
      </w:pPr>
      <w:r w:rsidRPr="00545759">
        <w:rPr>
          <w:rFonts w:ascii="STIX" w:hAnsi="STIX" w:cs="STIX"/>
          <w:color w:val="211D1E"/>
          <w:sz w:val="24"/>
          <w:szCs w:val="18"/>
        </w:rPr>
        <w:t>Fourier’s law is used routinely by architectural engi</w:t>
      </w:r>
      <w:r w:rsidRPr="00545759">
        <w:rPr>
          <w:rFonts w:ascii="STIX" w:hAnsi="STIX" w:cs="STIX"/>
          <w:color w:val="211D1E"/>
          <w:sz w:val="24"/>
          <w:szCs w:val="18"/>
        </w:rPr>
        <w:softHyphen/>
        <w:t>neers to determine heat flow through walls. The following temperatures are measured from the surface (</w:t>
      </w:r>
      <w:r w:rsidRPr="00545759">
        <w:rPr>
          <w:rFonts w:ascii="STIX" w:hAnsi="STIX" w:cs="STIX"/>
          <w:i/>
          <w:iCs/>
          <w:color w:val="211D1E"/>
          <w:sz w:val="24"/>
          <w:szCs w:val="18"/>
        </w:rPr>
        <w:t xml:space="preserve">x </w:t>
      </w:r>
      <w:r w:rsidRPr="00545759">
        <w:rPr>
          <w:rFonts w:ascii="STIX" w:hAnsi="STIX" w:cs="STIX"/>
          <w:color w:val="211D1E"/>
          <w:sz w:val="24"/>
          <w:szCs w:val="18"/>
        </w:rPr>
        <w:t xml:space="preserve">= 0) into a stone wall: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25"/>
        <w:gridCol w:w="1525"/>
        <w:gridCol w:w="1526"/>
        <w:gridCol w:w="1526"/>
      </w:tblGrid>
      <w:tr w:rsidR="00545759" w:rsidRPr="00545759" w:rsidTr="00545759">
        <w:trPr>
          <w:trHeight w:val="602"/>
        </w:trPr>
        <w:tc>
          <w:tcPr>
            <w:tcW w:w="1525" w:type="dxa"/>
          </w:tcPr>
          <w:p w:rsidR="00545759" w:rsidRPr="00545759" w:rsidRDefault="00545759" w:rsidP="00B643CF">
            <w:pPr>
              <w:autoSpaceDE w:val="0"/>
              <w:autoSpaceDN w:val="0"/>
              <w:adjustRightInd w:val="0"/>
              <w:spacing w:before="240" w:after="0" w:line="160" w:lineRule="atLeast"/>
              <w:rPr>
                <w:rFonts w:ascii="STIX" w:hAnsi="STIX" w:cs="STIX"/>
                <w:b/>
                <w:bCs/>
                <w:color w:val="211D1E"/>
                <w:sz w:val="24"/>
                <w:szCs w:val="16"/>
              </w:rPr>
            </w:pPr>
            <w:r w:rsidRPr="00545759">
              <w:rPr>
                <w:rFonts w:ascii="STIX" w:hAnsi="STIX" w:cs="STIX"/>
                <w:b/>
                <w:bCs/>
                <w:i/>
                <w:iCs/>
                <w:color w:val="211D1E"/>
                <w:sz w:val="24"/>
                <w:szCs w:val="16"/>
              </w:rPr>
              <w:t>x,</w:t>
            </w:r>
            <w:r>
              <w:rPr>
                <w:rFonts w:ascii="STIX" w:hAnsi="STIX" w:cs="STIX"/>
                <w:b/>
                <w:bCs/>
                <w:i/>
                <w:iCs/>
                <w:color w:val="211D1E"/>
                <w:sz w:val="24"/>
                <w:szCs w:val="16"/>
              </w:rPr>
              <w:t xml:space="preserve"> </w:t>
            </w:r>
            <w:r w:rsidRPr="00545759">
              <w:rPr>
                <w:rFonts w:ascii="STIX" w:hAnsi="STIX" w:cs="STIX"/>
                <w:b/>
                <w:bCs/>
                <w:color w:val="211D1E"/>
                <w:sz w:val="24"/>
                <w:szCs w:val="16"/>
              </w:rPr>
              <w:t>m</w:t>
            </w:r>
          </w:p>
        </w:tc>
        <w:tc>
          <w:tcPr>
            <w:tcW w:w="1525" w:type="dxa"/>
          </w:tcPr>
          <w:p w:rsidR="00545759" w:rsidRPr="00545759" w:rsidRDefault="00545759" w:rsidP="00B643CF">
            <w:pPr>
              <w:autoSpaceDE w:val="0"/>
              <w:autoSpaceDN w:val="0"/>
              <w:adjustRightInd w:val="0"/>
              <w:spacing w:before="240" w:after="0" w:line="160" w:lineRule="atLeast"/>
              <w:rPr>
                <w:rFonts w:ascii="STIX" w:hAnsi="STIX" w:cs="STIX"/>
                <w:color w:val="211D1E"/>
                <w:sz w:val="24"/>
                <w:szCs w:val="16"/>
              </w:rPr>
            </w:pPr>
            <w:r w:rsidRPr="00545759">
              <w:rPr>
                <w:rFonts w:ascii="STIX" w:hAnsi="STIX" w:cs="STIX"/>
                <w:color w:val="211D1E"/>
                <w:sz w:val="24"/>
                <w:szCs w:val="16"/>
              </w:rPr>
              <w:t>0</w:t>
            </w:r>
          </w:p>
        </w:tc>
        <w:tc>
          <w:tcPr>
            <w:tcW w:w="1526" w:type="dxa"/>
          </w:tcPr>
          <w:p w:rsidR="00545759" w:rsidRPr="00545759" w:rsidRDefault="00545759" w:rsidP="00B643CF">
            <w:pPr>
              <w:autoSpaceDE w:val="0"/>
              <w:autoSpaceDN w:val="0"/>
              <w:adjustRightInd w:val="0"/>
              <w:spacing w:before="240" w:after="0" w:line="160" w:lineRule="atLeast"/>
              <w:rPr>
                <w:rFonts w:ascii="STIX" w:hAnsi="STIX" w:cs="STIX"/>
                <w:color w:val="211D1E"/>
                <w:sz w:val="24"/>
                <w:szCs w:val="16"/>
              </w:rPr>
            </w:pPr>
            <w:r w:rsidRPr="00545759">
              <w:rPr>
                <w:rFonts w:ascii="STIX" w:hAnsi="STIX" w:cs="STIX"/>
                <w:color w:val="211D1E"/>
                <w:sz w:val="24"/>
                <w:szCs w:val="16"/>
              </w:rPr>
              <w:t>0.08</w:t>
            </w:r>
          </w:p>
        </w:tc>
        <w:tc>
          <w:tcPr>
            <w:tcW w:w="1526" w:type="dxa"/>
          </w:tcPr>
          <w:p w:rsidR="00545759" w:rsidRPr="00545759" w:rsidRDefault="00545759" w:rsidP="00B643CF">
            <w:pPr>
              <w:autoSpaceDE w:val="0"/>
              <w:autoSpaceDN w:val="0"/>
              <w:adjustRightInd w:val="0"/>
              <w:spacing w:before="240" w:after="0" w:line="160" w:lineRule="atLeast"/>
              <w:rPr>
                <w:rFonts w:ascii="STIX" w:hAnsi="STIX" w:cs="STIX"/>
                <w:color w:val="211D1E"/>
                <w:sz w:val="24"/>
                <w:szCs w:val="16"/>
              </w:rPr>
            </w:pPr>
            <w:r w:rsidRPr="00545759">
              <w:rPr>
                <w:rFonts w:ascii="STIX" w:hAnsi="STIX" w:cs="STIX"/>
                <w:color w:val="211D1E"/>
                <w:sz w:val="24"/>
                <w:szCs w:val="16"/>
              </w:rPr>
              <w:t>0.16</w:t>
            </w:r>
          </w:p>
        </w:tc>
      </w:tr>
      <w:tr w:rsidR="00545759" w:rsidRPr="00545759" w:rsidTr="00545759">
        <w:trPr>
          <w:trHeight w:val="674"/>
        </w:trPr>
        <w:tc>
          <w:tcPr>
            <w:tcW w:w="1525" w:type="dxa"/>
          </w:tcPr>
          <w:p w:rsidR="00545759" w:rsidRPr="00545759" w:rsidRDefault="00545759" w:rsidP="00B643CF">
            <w:pPr>
              <w:autoSpaceDE w:val="0"/>
              <w:autoSpaceDN w:val="0"/>
              <w:adjustRightInd w:val="0"/>
              <w:spacing w:after="320" w:line="160" w:lineRule="atLeast"/>
              <w:rPr>
                <w:rFonts w:ascii="STIX" w:hAnsi="STIX" w:cs="STIX"/>
                <w:b/>
                <w:bCs/>
                <w:color w:val="211D1E"/>
                <w:sz w:val="24"/>
                <w:szCs w:val="16"/>
              </w:rPr>
            </w:pPr>
            <w:r w:rsidRPr="00545759">
              <w:rPr>
                <w:rFonts w:ascii="STIX" w:hAnsi="STIX" w:cs="STIX"/>
                <w:i/>
                <w:iCs/>
                <w:color w:val="211D1E"/>
                <w:sz w:val="24"/>
              </w:rPr>
              <w:t>T</w:t>
            </w:r>
            <w:r w:rsidRPr="00545759">
              <w:rPr>
                <w:rFonts w:ascii="STIX" w:hAnsi="STIX" w:cs="STIX"/>
                <w:i/>
                <w:iCs/>
                <w:color w:val="211D1E"/>
                <w:sz w:val="24"/>
                <w:szCs w:val="16"/>
              </w:rPr>
              <w:t>,</w:t>
            </w:r>
            <w:r>
              <w:rPr>
                <w:rFonts w:ascii="STIX" w:hAnsi="STIX" w:cs="STIX"/>
                <w:i/>
                <w:iCs/>
                <w:color w:val="211D1E"/>
                <w:sz w:val="24"/>
                <w:szCs w:val="16"/>
              </w:rPr>
              <w:t xml:space="preserve"> </w:t>
            </w:r>
            <w:r w:rsidRPr="00545759">
              <w:rPr>
                <w:rFonts w:ascii="STIX" w:hAnsi="STIX" w:cs="STIX"/>
                <w:b/>
                <w:bCs/>
                <w:color w:val="211D1E"/>
                <w:sz w:val="24"/>
                <w:szCs w:val="16"/>
              </w:rPr>
              <w:t>°C</w:t>
            </w:r>
          </w:p>
        </w:tc>
        <w:tc>
          <w:tcPr>
            <w:tcW w:w="1525" w:type="dxa"/>
          </w:tcPr>
          <w:p w:rsidR="00545759" w:rsidRPr="00545759" w:rsidRDefault="00545759" w:rsidP="00B643CF">
            <w:pPr>
              <w:autoSpaceDE w:val="0"/>
              <w:autoSpaceDN w:val="0"/>
              <w:adjustRightInd w:val="0"/>
              <w:spacing w:after="320" w:line="160" w:lineRule="atLeast"/>
              <w:rPr>
                <w:rFonts w:ascii="STIX" w:hAnsi="STIX" w:cs="STIX"/>
                <w:color w:val="211D1E"/>
                <w:sz w:val="24"/>
                <w:szCs w:val="16"/>
              </w:rPr>
            </w:pPr>
            <w:r w:rsidRPr="00545759">
              <w:rPr>
                <w:rFonts w:ascii="STIX" w:hAnsi="STIX" w:cs="STIX"/>
                <w:color w:val="211D1E"/>
                <w:sz w:val="24"/>
                <w:szCs w:val="16"/>
              </w:rPr>
              <w:t>20.2</w:t>
            </w:r>
          </w:p>
        </w:tc>
        <w:tc>
          <w:tcPr>
            <w:tcW w:w="1526" w:type="dxa"/>
          </w:tcPr>
          <w:p w:rsidR="00545759" w:rsidRPr="00545759" w:rsidRDefault="00545759" w:rsidP="00B643CF">
            <w:pPr>
              <w:autoSpaceDE w:val="0"/>
              <w:autoSpaceDN w:val="0"/>
              <w:adjustRightInd w:val="0"/>
              <w:spacing w:after="320" w:line="160" w:lineRule="atLeast"/>
              <w:rPr>
                <w:rFonts w:ascii="STIX" w:hAnsi="STIX" w:cs="STIX"/>
                <w:color w:val="211D1E"/>
                <w:sz w:val="24"/>
                <w:szCs w:val="16"/>
              </w:rPr>
            </w:pPr>
            <w:r w:rsidRPr="00545759">
              <w:rPr>
                <w:rFonts w:ascii="STIX" w:hAnsi="STIX" w:cs="STIX"/>
                <w:color w:val="211D1E"/>
                <w:sz w:val="24"/>
                <w:szCs w:val="16"/>
              </w:rPr>
              <w:t>17</w:t>
            </w:r>
          </w:p>
        </w:tc>
        <w:tc>
          <w:tcPr>
            <w:tcW w:w="1526" w:type="dxa"/>
          </w:tcPr>
          <w:p w:rsidR="00545759" w:rsidRPr="00545759" w:rsidRDefault="00545759" w:rsidP="00B643CF">
            <w:pPr>
              <w:autoSpaceDE w:val="0"/>
              <w:autoSpaceDN w:val="0"/>
              <w:adjustRightInd w:val="0"/>
              <w:spacing w:after="320" w:line="160" w:lineRule="atLeast"/>
              <w:rPr>
                <w:rFonts w:ascii="STIX" w:hAnsi="STIX" w:cs="STIX"/>
                <w:color w:val="211D1E"/>
                <w:sz w:val="24"/>
                <w:szCs w:val="16"/>
              </w:rPr>
            </w:pPr>
            <w:r w:rsidRPr="00545759">
              <w:rPr>
                <w:rFonts w:ascii="STIX" w:hAnsi="STIX" w:cs="STIX"/>
                <w:color w:val="211D1E"/>
                <w:sz w:val="24"/>
                <w:szCs w:val="16"/>
              </w:rPr>
              <w:t>15</w:t>
            </w:r>
          </w:p>
        </w:tc>
      </w:tr>
    </w:tbl>
    <w:p w:rsidR="00991357" w:rsidRPr="00545759" w:rsidRDefault="00545759" w:rsidP="00545759">
      <w:pPr>
        <w:autoSpaceDE w:val="0"/>
        <w:autoSpaceDN w:val="0"/>
        <w:adjustRightInd w:val="0"/>
        <w:spacing w:after="0" w:line="240" w:lineRule="auto"/>
        <w:rPr>
          <w:rFonts w:ascii="STIX" w:hAnsi="STIX" w:cs="STIX"/>
          <w:sz w:val="24"/>
        </w:rPr>
      </w:pPr>
      <w:r w:rsidRPr="00545759">
        <w:rPr>
          <w:rFonts w:ascii="STIX" w:hAnsi="STIX" w:cs="STIX"/>
          <w:color w:val="211D1E"/>
          <w:sz w:val="24"/>
          <w:szCs w:val="18"/>
        </w:rPr>
        <w:t xml:space="preserve">If the flux at </w:t>
      </w:r>
      <w:r w:rsidRPr="00545759">
        <w:rPr>
          <w:rFonts w:ascii="STIX" w:hAnsi="STIX" w:cs="STIX"/>
          <w:i/>
          <w:iCs/>
          <w:color w:val="211D1E"/>
          <w:sz w:val="24"/>
          <w:szCs w:val="18"/>
        </w:rPr>
        <w:t xml:space="preserve">x </w:t>
      </w:r>
      <w:r w:rsidRPr="00545759">
        <w:rPr>
          <w:rFonts w:ascii="STIX" w:hAnsi="STIX" w:cs="STIX"/>
          <w:color w:val="211D1E"/>
          <w:sz w:val="24"/>
          <w:szCs w:val="18"/>
        </w:rPr>
        <w:t>= 0 is 60 W/m</w:t>
      </w:r>
      <w:r w:rsidRPr="00545759">
        <w:rPr>
          <w:rFonts w:ascii="STIX" w:hAnsi="STIX" w:cs="STIX"/>
          <w:color w:val="211D1E"/>
          <w:sz w:val="32"/>
          <w:vertAlign w:val="superscript"/>
        </w:rPr>
        <w:t>2</w:t>
      </w:r>
      <w:r w:rsidRPr="00545759">
        <w:rPr>
          <w:rFonts w:ascii="STIX" w:hAnsi="STIX" w:cs="STIX"/>
          <w:color w:val="211D1E"/>
          <w:sz w:val="24"/>
          <w:szCs w:val="18"/>
        </w:rPr>
        <w:t xml:space="preserve">, compute </w:t>
      </w:r>
      <w:r w:rsidRPr="00545759">
        <w:rPr>
          <w:rFonts w:ascii="STIX" w:hAnsi="STIX" w:cs="STIX"/>
          <w:i/>
          <w:iCs/>
          <w:color w:val="211D1E"/>
          <w:sz w:val="24"/>
          <w:szCs w:val="18"/>
        </w:rPr>
        <w:t>k</w:t>
      </w:r>
      <w:r w:rsidRPr="00545759">
        <w:rPr>
          <w:rFonts w:ascii="STIX" w:hAnsi="STIX" w:cs="STIX"/>
          <w:color w:val="211D1E"/>
          <w:sz w:val="24"/>
          <w:szCs w:val="18"/>
        </w:rPr>
        <w:t xml:space="preserve">. </w:t>
      </w:r>
    </w:p>
    <w:sectPr w:rsidR="00991357" w:rsidRPr="00545759"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65E4"/>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Words>
  <Characters>238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2017-03-20T17:32:00Z</dcterms:created>
  <dcterms:modified xsi:type="dcterms:W3CDTF">2017-03-20T17:32:00Z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