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6A2ECB" w:rsidRDefault="00512B6C" w:rsidP="006A2ECB">
      <w:pPr>
        <w:pStyle w:val="Default"/>
        <w:ind w:right="-450"/>
        <w:rPr>
          <w:b/>
        </w:rPr>
      </w:pPr>
      <w:r w:rsidRPr="006A2ECB">
        <w:rPr>
          <w:b/>
        </w:rPr>
        <w:t xml:space="preserve">Problem </w:t>
      </w:r>
      <w:r w:rsidR="00677803" w:rsidRPr="006A2ECB">
        <w:rPr>
          <w:b/>
        </w:rPr>
        <w:t>2</w:t>
      </w:r>
      <w:r w:rsidR="006A2ECB" w:rsidRPr="006A2ECB">
        <w:rPr>
          <w:b/>
        </w:rPr>
        <w:t>1.28</w:t>
      </w:r>
    </w:p>
    <w:p w:rsidR="006A2ECB" w:rsidRPr="006A2ECB" w:rsidRDefault="006A2ECB" w:rsidP="006A2ECB">
      <w:pPr>
        <w:pStyle w:val="Default"/>
      </w:pPr>
    </w:p>
    <w:p w:rsidR="006A2ECB" w:rsidRPr="006A2ECB" w:rsidRDefault="006A2ECB" w:rsidP="006A2ECB">
      <w:pPr>
        <w:pStyle w:val="Pa104"/>
        <w:rPr>
          <w:color w:val="211D1E"/>
          <w:szCs w:val="18"/>
        </w:rPr>
      </w:pPr>
      <w:r w:rsidRPr="006A2ECB">
        <w:rPr>
          <w:color w:val="211D1E"/>
          <w:szCs w:val="18"/>
        </w:rPr>
        <w:t xml:space="preserve">The rate of cooling of a body (Fig. P21.28) can be expressed as </w:t>
      </w:r>
    </w:p>
    <w:p w:rsidR="006A2ECB" w:rsidRDefault="006A2ECB" w:rsidP="006A2ECB">
      <w:pPr>
        <w:pStyle w:val="Default"/>
        <w:rPr>
          <w:color w:val="211D1E"/>
          <w:szCs w:val="18"/>
        </w:rPr>
      </w:pPr>
    </w:p>
    <w:p w:rsidR="006A2ECB" w:rsidRDefault="006A2ECB" w:rsidP="006A2ECB">
      <w:pPr>
        <w:pStyle w:val="Default"/>
        <w:jc w:val="center"/>
        <w:rPr>
          <w:color w:val="211D1E"/>
          <w:szCs w:val="18"/>
        </w:rPr>
      </w:pPr>
      <w:r w:rsidRPr="006A2ECB">
        <w:rPr>
          <w:color w:val="211D1E"/>
          <w:position w:val="-24"/>
          <w:szCs w:val="18"/>
        </w:rPr>
        <w:object w:dxaOrig="190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32" type="#_x0000_t75" style="width:95.25pt;height:32.25pt" o:ole="">
            <v:imagedata r:id="rId7" o:title=""/>
          </v:shape>
          <o:OLEObject Type="Embed" ProgID="Equation.DSMT4" ShapeID="_x0000_i1532" DrawAspect="Content" ObjectID="_1551515998" r:id="rId8"/>
        </w:object>
      </w:r>
      <w:r>
        <w:rPr>
          <w:color w:val="211D1E"/>
          <w:szCs w:val="18"/>
        </w:rPr>
        <w:t xml:space="preserve"> </w:t>
      </w:r>
    </w:p>
    <w:p w:rsidR="006A2ECB" w:rsidRDefault="006A2ECB" w:rsidP="006A2ECB">
      <w:pPr>
        <w:pStyle w:val="Default"/>
        <w:jc w:val="center"/>
        <w:rPr>
          <w:color w:val="211D1E"/>
          <w:szCs w:val="18"/>
        </w:rPr>
      </w:pPr>
    </w:p>
    <w:p w:rsidR="006A2ECB" w:rsidRPr="006A2ECB" w:rsidRDefault="006A2ECB" w:rsidP="006A2ECB">
      <w:pPr>
        <w:pStyle w:val="Default"/>
      </w:pPr>
      <w:r w:rsidRPr="006A2ECB">
        <w:rPr>
          <w:color w:val="211D1E"/>
          <w:szCs w:val="18"/>
        </w:rPr>
        <w:t xml:space="preserve">where </w:t>
      </w:r>
      <w:r w:rsidRPr="006A2ECB">
        <w:rPr>
          <w:i/>
          <w:iCs/>
          <w:color w:val="211D1E"/>
          <w:szCs w:val="18"/>
        </w:rPr>
        <w:t xml:space="preserve">T </w:t>
      </w:r>
      <w:r w:rsidRPr="006A2ECB">
        <w:rPr>
          <w:color w:val="211D1E"/>
          <w:szCs w:val="18"/>
        </w:rPr>
        <w:t xml:space="preserve">= temperature of the body (°C), </w:t>
      </w:r>
      <w:r w:rsidRPr="006A2ECB">
        <w:rPr>
          <w:i/>
          <w:iCs/>
          <w:color w:val="211D1E"/>
          <w:szCs w:val="18"/>
        </w:rPr>
        <w:t>T</w:t>
      </w:r>
      <w:r w:rsidRPr="006A2ECB">
        <w:rPr>
          <w:rStyle w:val="A119"/>
          <w:sz w:val="32"/>
          <w:vertAlign w:val="subscript"/>
        </w:rPr>
        <w:t>a</w:t>
      </w:r>
      <w:r w:rsidRPr="006A2ECB">
        <w:rPr>
          <w:rStyle w:val="A119"/>
          <w:sz w:val="24"/>
        </w:rPr>
        <w:t xml:space="preserve"> </w:t>
      </w:r>
      <w:r w:rsidRPr="006A2ECB">
        <w:rPr>
          <w:color w:val="211D1E"/>
          <w:szCs w:val="18"/>
        </w:rPr>
        <w:t xml:space="preserve">= temperature of the surrounding medium (°C), and </w:t>
      </w:r>
      <w:r w:rsidRPr="006A2ECB">
        <w:rPr>
          <w:i/>
          <w:iCs/>
          <w:color w:val="211D1E"/>
          <w:szCs w:val="18"/>
        </w:rPr>
        <w:t>k</w:t>
      </w:r>
      <w:r>
        <w:rPr>
          <w:i/>
          <w:iCs/>
          <w:color w:val="211D1E"/>
          <w:szCs w:val="18"/>
        </w:rPr>
        <w:t> </w:t>
      </w:r>
      <w:r w:rsidRPr="006A2ECB">
        <w:rPr>
          <w:color w:val="211D1E"/>
          <w:szCs w:val="18"/>
        </w:rPr>
        <w:t>=</w:t>
      </w:r>
      <w:r>
        <w:rPr>
          <w:color w:val="211D1E"/>
          <w:szCs w:val="18"/>
        </w:rPr>
        <w:t> </w:t>
      </w:r>
      <w:r w:rsidRPr="006A2ECB">
        <w:rPr>
          <w:color w:val="211D1E"/>
          <w:szCs w:val="18"/>
        </w:rPr>
        <w:t>a proportionality con</w:t>
      </w:r>
      <w:r w:rsidRPr="006A2ECB">
        <w:rPr>
          <w:color w:val="211D1E"/>
          <w:szCs w:val="18"/>
        </w:rPr>
        <w:softHyphen/>
        <w:t xml:space="preserve">stant (per minute). Thus, this equation (called </w:t>
      </w:r>
      <w:r w:rsidRPr="006A2ECB">
        <w:rPr>
          <w:i/>
          <w:iCs/>
          <w:color w:val="211D1E"/>
          <w:szCs w:val="18"/>
        </w:rPr>
        <w:t>Newton’s law of cooling</w:t>
      </w:r>
      <w:r w:rsidRPr="006A2ECB">
        <w:rPr>
          <w:color w:val="211D1E"/>
          <w:szCs w:val="18"/>
        </w:rPr>
        <w:t>) specifies that the rate of cooling is proportional to the difference in the temperatures of the body and of the sur</w:t>
      </w:r>
      <w:r w:rsidRPr="006A2ECB">
        <w:rPr>
          <w:color w:val="211D1E"/>
          <w:szCs w:val="18"/>
        </w:rPr>
        <w:softHyphen/>
        <w:t xml:space="preserve">rounding medium. If a metal ball heated to 80 °C is dropped into water that is held constant at </w:t>
      </w:r>
      <w:r w:rsidRPr="006A2ECB">
        <w:rPr>
          <w:i/>
          <w:iCs/>
          <w:color w:val="211D1E"/>
          <w:szCs w:val="18"/>
        </w:rPr>
        <w:t>T</w:t>
      </w:r>
      <w:r w:rsidRPr="006A2ECB">
        <w:rPr>
          <w:rStyle w:val="A119"/>
          <w:sz w:val="32"/>
          <w:vertAlign w:val="subscript"/>
        </w:rPr>
        <w:t>a</w:t>
      </w:r>
      <w:r>
        <w:rPr>
          <w:rStyle w:val="A119"/>
          <w:sz w:val="24"/>
        </w:rPr>
        <w:t> </w:t>
      </w:r>
      <w:r w:rsidRPr="006A2ECB">
        <w:rPr>
          <w:color w:val="211D1E"/>
          <w:szCs w:val="18"/>
        </w:rPr>
        <w:t>=</w:t>
      </w:r>
      <w:r>
        <w:rPr>
          <w:color w:val="211D1E"/>
          <w:szCs w:val="18"/>
        </w:rPr>
        <w:t> </w:t>
      </w:r>
      <w:r w:rsidRPr="006A2ECB">
        <w:rPr>
          <w:color w:val="211D1E"/>
          <w:szCs w:val="18"/>
        </w:rPr>
        <w:t>20 °C, the temperature of the ball changes, as in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78"/>
        <w:gridCol w:w="778"/>
        <w:gridCol w:w="1028"/>
        <w:gridCol w:w="1028"/>
        <w:gridCol w:w="1028"/>
        <w:gridCol w:w="1029"/>
        <w:gridCol w:w="1029"/>
      </w:tblGrid>
      <w:tr w:rsidR="006A2ECB" w:rsidRPr="006A2ECB" w:rsidTr="006A2ECB">
        <w:trPr>
          <w:trHeight w:val="773"/>
        </w:trPr>
        <w:tc>
          <w:tcPr>
            <w:tcW w:w="1278" w:type="dxa"/>
          </w:tcPr>
          <w:p w:rsidR="006A2ECB" w:rsidRPr="006A2ECB" w:rsidRDefault="006A2ECB" w:rsidP="0071092F">
            <w:pPr>
              <w:pStyle w:val="Default"/>
              <w:spacing w:before="400" w:line="160" w:lineRule="atLeast"/>
              <w:rPr>
                <w:b/>
                <w:bCs/>
                <w:color w:val="211D1E"/>
                <w:szCs w:val="16"/>
              </w:rPr>
            </w:pPr>
            <w:r w:rsidRPr="006A2ECB">
              <w:rPr>
                <w:b/>
                <w:bCs/>
                <w:color w:val="211D1E"/>
                <w:szCs w:val="16"/>
              </w:rPr>
              <w:t>Time,</w:t>
            </w:r>
            <w:r>
              <w:rPr>
                <w:b/>
                <w:bCs/>
                <w:color w:val="211D1E"/>
                <w:szCs w:val="16"/>
              </w:rPr>
              <w:t xml:space="preserve"> </w:t>
            </w:r>
            <w:r w:rsidRPr="006A2ECB">
              <w:rPr>
                <w:b/>
                <w:bCs/>
                <w:color w:val="211D1E"/>
                <w:szCs w:val="16"/>
              </w:rPr>
              <w:t>min</w:t>
            </w:r>
          </w:p>
        </w:tc>
        <w:tc>
          <w:tcPr>
            <w:tcW w:w="778" w:type="dxa"/>
          </w:tcPr>
          <w:p w:rsidR="006A2ECB" w:rsidRPr="006A2ECB" w:rsidRDefault="006A2ECB" w:rsidP="0071092F">
            <w:pPr>
              <w:pStyle w:val="Default"/>
              <w:spacing w:before="400" w:line="160" w:lineRule="atLeast"/>
              <w:rPr>
                <w:color w:val="211D1E"/>
                <w:szCs w:val="16"/>
              </w:rPr>
            </w:pPr>
            <w:r w:rsidRPr="006A2ECB">
              <w:rPr>
                <w:color w:val="211D1E"/>
                <w:szCs w:val="16"/>
              </w:rPr>
              <w:t>0</w:t>
            </w:r>
          </w:p>
        </w:tc>
        <w:tc>
          <w:tcPr>
            <w:tcW w:w="1028" w:type="dxa"/>
          </w:tcPr>
          <w:p w:rsidR="006A2ECB" w:rsidRPr="006A2ECB" w:rsidRDefault="006A2ECB" w:rsidP="0071092F">
            <w:pPr>
              <w:pStyle w:val="Default"/>
              <w:spacing w:before="400" w:line="160" w:lineRule="atLeast"/>
              <w:rPr>
                <w:color w:val="211D1E"/>
                <w:szCs w:val="16"/>
              </w:rPr>
            </w:pPr>
            <w:r w:rsidRPr="006A2ECB">
              <w:rPr>
                <w:color w:val="211D1E"/>
                <w:szCs w:val="16"/>
              </w:rPr>
              <w:t>5</w:t>
            </w:r>
          </w:p>
        </w:tc>
        <w:tc>
          <w:tcPr>
            <w:tcW w:w="1028" w:type="dxa"/>
          </w:tcPr>
          <w:p w:rsidR="006A2ECB" w:rsidRPr="006A2ECB" w:rsidRDefault="006A2ECB" w:rsidP="0071092F">
            <w:pPr>
              <w:pStyle w:val="Default"/>
              <w:spacing w:before="400" w:line="160" w:lineRule="atLeast"/>
              <w:rPr>
                <w:color w:val="211D1E"/>
                <w:szCs w:val="16"/>
              </w:rPr>
            </w:pPr>
            <w:r w:rsidRPr="006A2ECB">
              <w:rPr>
                <w:color w:val="211D1E"/>
                <w:szCs w:val="16"/>
              </w:rPr>
              <w:t>10</w:t>
            </w:r>
          </w:p>
        </w:tc>
        <w:tc>
          <w:tcPr>
            <w:tcW w:w="1028" w:type="dxa"/>
          </w:tcPr>
          <w:p w:rsidR="006A2ECB" w:rsidRPr="006A2ECB" w:rsidRDefault="006A2ECB" w:rsidP="0071092F">
            <w:pPr>
              <w:pStyle w:val="Default"/>
              <w:spacing w:before="400" w:line="160" w:lineRule="atLeast"/>
              <w:rPr>
                <w:color w:val="211D1E"/>
                <w:szCs w:val="16"/>
              </w:rPr>
            </w:pPr>
            <w:r w:rsidRPr="006A2ECB">
              <w:rPr>
                <w:color w:val="211D1E"/>
                <w:szCs w:val="16"/>
              </w:rPr>
              <w:t>15</w:t>
            </w:r>
          </w:p>
        </w:tc>
        <w:tc>
          <w:tcPr>
            <w:tcW w:w="1029" w:type="dxa"/>
          </w:tcPr>
          <w:p w:rsidR="006A2ECB" w:rsidRPr="006A2ECB" w:rsidRDefault="006A2ECB" w:rsidP="0071092F">
            <w:pPr>
              <w:pStyle w:val="Default"/>
              <w:spacing w:before="400" w:line="160" w:lineRule="atLeast"/>
              <w:rPr>
                <w:color w:val="211D1E"/>
                <w:szCs w:val="16"/>
              </w:rPr>
            </w:pPr>
            <w:r w:rsidRPr="006A2ECB">
              <w:rPr>
                <w:color w:val="211D1E"/>
                <w:szCs w:val="16"/>
              </w:rPr>
              <w:t>20</w:t>
            </w:r>
          </w:p>
        </w:tc>
        <w:tc>
          <w:tcPr>
            <w:tcW w:w="1029" w:type="dxa"/>
          </w:tcPr>
          <w:p w:rsidR="006A2ECB" w:rsidRPr="006A2ECB" w:rsidRDefault="006A2ECB" w:rsidP="0071092F">
            <w:pPr>
              <w:pStyle w:val="Default"/>
              <w:spacing w:before="400" w:line="160" w:lineRule="atLeast"/>
              <w:rPr>
                <w:color w:val="211D1E"/>
                <w:szCs w:val="16"/>
              </w:rPr>
            </w:pPr>
            <w:r w:rsidRPr="006A2ECB">
              <w:rPr>
                <w:color w:val="211D1E"/>
                <w:szCs w:val="16"/>
              </w:rPr>
              <w:t>25</w:t>
            </w:r>
          </w:p>
        </w:tc>
      </w:tr>
      <w:tr w:rsidR="006A2ECB" w:rsidRPr="006A2ECB" w:rsidTr="006A2ECB">
        <w:trPr>
          <w:trHeight w:val="847"/>
        </w:trPr>
        <w:tc>
          <w:tcPr>
            <w:tcW w:w="1278" w:type="dxa"/>
          </w:tcPr>
          <w:p w:rsidR="006A2ECB" w:rsidRPr="006A2ECB" w:rsidRDefault="006A2ECB" w:rsidP="0071092F">
            <w:pPr>
              <w:pStyle w:val="Default"/>
              <w:spacing w:after="460" w:line="160" w:lineRule="atLeast"/>
              <w:rPr>
                <w:b/>
                <w:bCs/>
                <w:color w:val="211D1E"/>
                <w:szCs w:val="16"/>
              </w:rPr>
            </w:pPr>
            <w:r w:rsidRPr="006A2ECB">
              <w:rPr>
                <w:b/>
                <w:bCs/>
                <w:i/>
                <w:iCs/>
                <w:color w:val="211D1E"/>
                <w:szCs w:val="16"/>
              </w:rPr>
              <w:t>T,</w:t>
            </w:r>
            <w:r>
              <w:rPr>
                <w:b/>
                <w:bCs/>
                <w:i/>
                <w:iCs/>
                <w:color w:val="211D1E"/>
                <w:szCs w:val="16"/>
              </w:rPr>
              <w:t xml:space="preserve"> </w:t>
            </w:r>
            <w:r w:rsidRPr="006A2ECB">
              <w:rPr>
                <w:b/>
                <w:bCs/>
                <w:color w:val="211D1E"/>
                <w:szCs w:val="16"/>
              </w:rPr>
              <w:t>°C</w:t>
            </w:r>
          </w:p>
        </w:tc>
        <w:tc>
          <w:tcPr>
            <w:tcW w:w="778" w:type="dxa"/>
          </w:tcPr>
          <w:p w:rsidR="006A2ECB" w:rsidRPr="006A2ECB" w:rsidRDefault="006A2ECB" w:rsidP="0071092F">
            <w:pPr>
              <w:pStyle w:val="Default"/>
              <w:spacing w:after="460" w:line="160" w:lineRule="atLeast"/>
              <w:rPr>
                <w:color w:val="211D1E"/>
                <w:szCs w:val="16"/>
              </w:rPr>
            </w:pPr>
            <w:r w:rsidRPr="006A2ECB">
              <w:rPr>
                <w:color w:val="211D1E"/>
                <w:szCs w:val="16"/>
              </w:rPr>
              <w:t>80</w:t>
            </w:r>
          </w:p>
        </w:tc>
        <w:tc>
          <w:tcPr>
            <w:tcW w:w="1028" w:type="dxa"/>
          </w:tcPr>
          <w:p w:rsidR="006A2ECB" w:rsidRPr="006A2ECB" w:rsidRDefault="006A2ECB" w:rsidP="0071092F">
            <w:pPr>
              <w:pStyle w:val="Default"/>
              <w:spacing w:after="460" w:line="160" w:lineRule="atLeast"/>
              <w:rPr>
                <w:color w:val="211D1E"/>
                <w:szCs w:val="16"/>
              </w:rPr>
            </w:pPr>
            <w:r w:rsidRPr="006A2ECB">
              <w:rPr>
                <w:color w:val="211D1E"/>
                <w:szCs w:val="16"/>
              </w:rPr>
              <w:t>44.5</w:t>
            </w:r>
          </w:p>
        </w:tc>
        <w:tc>
          <w:tcPr>
            <w:tcW w:w="1028" w:type="dxa"/>
          </w:tcPr>
          <w:p w:rsidR="006A2ECB" w:rsidRPr="006A2ECB" w:rsidRDefault="006A2ECB" w:rsidP="0071092F">
            <w:pPr>
              <w:pStyle w:val="Default"/>
              <w:spacing w:after="460" w:line="160" w:lineRule="atLeast"/>
              <w:rPr>
                <w:color w:val="211D1E"/>
                <w:szCs w:val="16"/>
              </w:rPr>
            </w:pPr>
            <w:r w:rsidRPr="006A2ECB">
              <w:rPr>
                <w:color w:val="211D1E"/>
                <w:szCs w:val="16"/>
              </w:rPr>
              <w:t>30.0</w:t>
            </w:r>
          </w:p>
        </w:tc>
        <w:tc>
          <w:tcPr>
            <w:tcW w:w="1028" w:type="dxa"/>
          </w:tcPr>
          <w:p w:rsidR="006A2ECB" w:rsidRPr="006A2ECB" w:rsidRDefault="006A2ECB" w:rsidP="0071092F">
            <w:pPr>
              <w:pStyle w:val="Default"/>
              <w:spacing w:after="460" w:line="160" w:lineRule="atLeast"/>
              <w:rPr>
                <w:color w:val="211D1E"/>
                <w:szCs w:val="16"/>
              </w:rPr>
            </w:pPr>
            <w:r w:rsidRPr="006A2ECB">
              <w:rPr>
                <w:color w:val="211D1E"/>
                <w:szCs w:val="16"/>
              </w:rPr>
              <w:t>24.1</w:t>
            </w:r>
          </w:p>
        </w:tc>
        <w:tc>
          <w:tcPr>
            <w:tcW w:w="1029" w:type="dxa"/>
          </w:tcPr>
          <w:p w:rsidR="006A2ECB" w:rsidRPr="006A2ECB" w:rsidRDefault="006A2ECB" w:rsidP="0071092F">
            <w:pPr>
              <w:pStyle w:val="Default"/>
              <w:spacing w:after="460" w:line="160" w:lineRule="atLeast"/>
              <w:rPr>
                <w:color w:val="211D1E"/>
                <w:szCs w:val="16"/>
              </w:rPr>
            </w:pPr>
            <w:r w:rsidRPr="006A2ECB">
              <w:rPr>
                <w:color w:val="211D1E"/>
                <w:szCs w:val="16"/>
              </w:rPr>
              <w:t>21.7</w:t>
            </w:r>
          </w:p>
        </w:tc>
        <w:tc>
          <w:tcPr>
            <w:tcW w:w="1029" w:type="dxa"/>
          </w:tcPr>
          <w:p w:rsidR="006A2ECB" w:rsidRPr="006A2ECB" w:rsidRDefault="006A2ECB" w:rsidP="0071092F">
            <w:pPr>
              <w:pStyle w:val="Default"/>
              <w:spacing w:after="460" w:line="160" w:lineRule="atLeast"/>
              <w:rPr>
                <w:color w:val="211D1E"/>
                <w:szCs w:val="16"/>
              </w:rPr>
            </w:pPr>
            <w:r w:rsidRPr="006A2ECB">
              <w:rPr>
                <w:color w:val="211D1E"/>
                <w:szCs w:val="16"/>
              </w:rPr>
              <w:t>20.7</w:t>
            </w:r>
          </w:p>
        </w:tc>
      </w:tr>
    </w:tbl>
    <w:p w:rsidR="00991357" w:rsidRDefault="006A2ECB" w:rsidP="006A2ECB">
      <w:pPr>
        <w:autoSpaceDE w:val="0"/>
        <w:autoSpaceDN w:val="0"/>
        <w:adjustRightInd w:val="0"/>
        <w:spacing w:after="0" w:line="240" w:lineRule="auto"/>
        <w:rPr>
          <w:rFonts w:ascii="STIX" w:hAnsi="STIX" w:cs="STIX"/>
          <w:color w:val="211D1E"/>
          <w:sz w:val="24"/>
          <w:szCs w:val="18"/>
        </w:rPr>
      </w:pPr>
      <w:r w:rsidRPr="006A2ECB">
        <w:rPr>
          <w:rFonts w:ascii="STIX" w:hAnsi="STIX" w:cs="STIX"/>
          <w:color w:val="211D1E"/>
          <w:sz w:val="24"/>
          <w:szCs w:val="18"/>
        </w:rPr>
        <w:t xml:space="preserve">Utilize numerical differentiation to determine </w:t>
      </w:r>
      <w:r w:rsidRPr="006A2ECB">
        <w:rPr>
          <w:rFonts w:ascii="STIX" w:hAnsi="STIX" w:cs="STIX"/>
          <w:i/>
          <w:iCs/>
          <w:color w:val="211D1E"/>
          <w:sz w:val="24"/>
          <w:szCs w:val="18"/>
        </w:rPr>
        <w:t>dT</w:t>
      </w:r>
      <w:r w:rsidRPr="006A2ECB">
        <w:rPr>
          <w:rFonts w:ascii="STIX" w:hAnsi="STIX" w:cs="STIX"/>
          <w:color w:val="211D1E"/>
          <w:sz w:val="24"/>
          <w:szCs w:val="18"/>
        </w:rPr>
        <w:t>∕</w:t>
      </w:r>
      <w:r w:rsidRPr="006A2ECB">
        <w:rPr>
          <w:rFonts w:ascii="STIX" w:hAnsi="STIX" w:cs="STIX"/>
          <w:i/>
          <w:iCs/>
          <w:color w:val="211D1E"/>
          <w:sz w:val="24"/>
          <w:szCs w:val="18"/>
        </w:rPr>
        <w:t xml:space="preserve">dt </w:t>
      </w:r>
      <w:r w:rsidRPr="006A2ECB">
        <w:rPr>
          <w:rFonts w:ascii="STIX" w:hAnsi="STIX" w:cs="STIX"/>
          <w:color w:val="211D1E"/>
          <w:sz w:val="24"/>
          <w:szCs w:val="18"/>
        </w:rPr>
        <w:t xml:space="preserve">at each value of time. Plot </w:t>
      </w:r>
      <w:r w:rsidRPr="006A2ECB">
        <w:rPr>
          <w:rFonts w:ascii="STIX" w:hAnsi="STIX" w:cs="STIX"/>
          <w:i/>
          <w:iCs/>
          <w:color w:val="211D1E"/>
          <w:sz w:val="24"/>
          <w:szCs w:val="18"/>
        </w:rPr>
        <w:t>dT</w:t>
      </w:r>
      <w:r w:rsidRPr="006A2ECB">
        <w:rPr>
          <w:rFonts w:ascii="STIX" w:hAnsi="STIX" w:cs="STIX"/>
          <w:color w:val="211D1E"/>
          <w:sz w:val="24"/>
          <w:szCs w:val="18"/>
        </w:rPr>
        <w:t>∕</w:t>
      </w:r>
      <w:r w:rsidRPr="006A2ECB">
        <w:rPr>
          <w:rFonts w:ascii="STIX" w:hAnsi="STIX" w:cs="STIX"/>
          <w:i/>
          <w:iCs/>
          <w:color w:val="211D1E"/>
          <w:sz w:val="24"/>
          <w:szCs w:val="18"/>
        </w:rPr>
        <w:t xml:space="preserve">dt </w:t>
      </w:r>
      <w:r w:rsidRPr="006A2ECB">
        <w:rPr>
          <w:rFonts w:ascii="STIX" w:hAnsi="STIX" w:cs="STIX"/>
          <w:color w:val="211D1E"/>
          <w:sz w:val="24"/>
          <w:szCs w:val="18"/>
        </w:rPr>
        <w:t xml:space="preserve">versus </w:t>
      </w:r>
      <w:r w:rsidRPr="006A2ECB">
        <w:rPr>
          <w:rFonts w:ascii="STIX" w:hAnsi="STIX" w:cs="STIX"/>
          <w:i/>
          <w:iCs/>
          <w:color w:val="211D1E"/>
          <w:sz w:val="24"/>
          <w:szCs w:val="18"/>
        </w:rPr>
        <w:t xml:space="preserve">T </w:t>
      </w:r>
      <w:r w:rsidRPr="006A2ECB">
        <w:rPr>
          <w:rFonts w:ascii="STIX" w:hAnsi="STIX" w:cs="STIX"/>
          <w:color w:val="211D1E"/>
          <w:sz w:val="24"/>
          <w:szCs w:val="18"/>
        </w:rPr>
        <w:t xml:space="preserve">− </w:t>
      </w:r>
      <w:r w:rsidRPr="006A2ECB">
        <w:rPr>
          <w:rFonts w:ascii="STIX" w:hAnsi="STIX" w:cs="STIX"/>
          <w:i/>
          <w:iCs/>
          <w:color w:val="211D1E"/>
          <w:sz w:val="24"/>
          <w:szCs w:val="18"/>
        </w:rPr>
        <w:t>T</w:t>
      </w:r>
      <w:r w:rsidRPr="006A2ECB">
        <w:rPr>
          <w:rStyle w:val="A119"/>
          <w:rFonts w:ascii="STIX" w:hAnsi="STIX" w:cs="STIX"/>
          <w:sz w:val="32"/>
          <w:vertAlign w:val="subscript"/>
        </w:rPr>
        <w:t xml:space="preserve">a </w:t>
      </w:r>
      <w:r w:rsidRPr="006A2ECB">
        <w:rPr>
          <w:rFonts w:ascii="STIX" w:hAnsi="STIX" w:cs="STIX"/>
          <w:color w:val="211D1E"/>
          <w:sz w:val="24"/>
          <w:szCs w:val="18"/>
        </w:rPr>
        <w:t xml:space="preserve">and employ linear regression to evaluate </w:t>
      </w:r>
      <w:r w:rsidRPr="006A2ECB">
        <w:rPr>
          <w:rFonts w:ascii="STIX" w:hAnsi="STIX" w:cs="STIX"/>
          <w:i/>
          <w:iCs/>
          <w:color w:val="211D1E"/>
          <w:sz w:val="24"/>
          <w:szCs w:val="18"/>
        </w:rPr>
        <w:t>k</w:t>
      </w:r>
      <w:r w:rsidRPr="006A2ECB">
        <w:rPr>
          <w:rFonts w:ascii="STIX" w:hAnsi="STIX" w:cs="STIX"/>
          <w:color w:val="211D1E"/>
          <w:sz w:val="24"/>
          <w:szCs w:val="18"/>
        </w:rPr>
        <w:t>.</w:t>
      </w:r>
    </w:p>
    <w:p w:rsidR="006A2ECB" w:rsidRDefault="006A2ECB" w:rsidP="006A2ECB">
      <w:pPr>
        <w:autoSpaceDE w:val="0"/>
        <w:autoSpaceDN w:val="0"/>
        <w:adjustRightInd w:val="0"/>
        <w:spacing w:after="0" w:line="240" w:lineRule="auto"/>
        <w:rPr>
          <w:rFonts w:ascii="STIX" w:hAnsi="STIX" w:cs="STIX"/>
          <w:color w:val="211D1E"/>
          <w:sz w:val="24"/>
          <w:szCs w:val="18"/>
        </w:rPr>
      </w:pPr>
    </w:p>
    <w:p w:rsidR="006A2ECB" w:rsidRPr="006A2ECB" w:rsidRDefault="006A2ECB" w:rsidP="006A2ECB">
      <w:pPr>
        <w:autoSpaceDE w:val="0"/>
        <w:autoSpaceDN w:val="0"/>
        <w:adjustRightInd w:val="0"/>
        <w:spacing w:after="0" w:line="240" w:lineRule="auto"/>
        <w:jc w:val="center"/>
        <w:rPr>
          <w:rFonts w:ascii="STIX" w:hAnsi="STIX" w:cs="STIX"/>
          <w:sz w:val="24"/>
        </w:rPr>
      </w:pPr>
      <w:r>
        <w:rPr>
          <w:rFonts w:ascii="STIX" w:hAnsi="STIX" w:cs="STIX"/>
          <w:noProof/>
          <w:sz w:val="24"/>
        </w:rPr>
        <w:drawing>
          <wp:inline distT="0" distB="0" distL="0" distR="0">
            <wp:extent cx="2657475" cy="2078886"/>
            <wp:effectExtent l="19050" t="0" r="9525"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 cstate="print"/>
                    <a:srcRect/>
                    <a:stretch>
                      <a:fillRect/>
                    </a:stretch>
                  </pic:blipFill>
                  <pic:spPr bwMode="auto">
                    <a:xfrm>
                      <a:off x="0" y="0"/>
                      <a:ext cx="2657475" cy="2078886"/>
                    </a:xfrm>
                    <a:prstGeom prst="rect">
                      <a:avLst/>
                    </a:prstGeom>
                    <a:noFill/>
                    <a:ln w="9525">
                      <a:noFill/>
                      <a:miter lim="800000"/>
                      <a:headEnd/>
                      <a:tailEnd/>
                    </a:ln>
                  </pic:spPr>
                </pic:pic>
              </a:graphicData>
            </a:graphic>
          </wp:inline>
        </w:drawing>
      </w:r>
    </w:p>
    <w:sectPr w:rsidR="006A2ECB" w:rsidRPr="006A2ECB" w:rsidSect="003B34E6">
      <w:footerReference w:type="default" r:id="rId10"/>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52B"/>
    <w:rsid w:val="006C4E3B"/>
    <w:rsid w:val="006C7688"/>
    <w:rsid w:val="006D1A78"/>
    <w:rsid w:val="006D36D6"/>
    <w:rsid w:val="006D3E0A"/>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116</Words>
  <Characters>664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2017-03-20T17:43:00Z</dcterms:created>
  <dcterms:modified xsi:type="dcterms:W3CDTF">2017-03-20T17:43:00Z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