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B165D" w:rsidRDefault="00512B6C" w:rsidP="006B165D">
      <w:pPr>
        <w:pStyle w:val="Default"/>
        <w:ind w:right="-450"/>
        <w:rPr>
          <w:b/>
        </w:rPr>
      </w:pPr>
      <w:r w:rsidRPr="006B165D">
        <w:rPr>
          <w:b/>
        </w:rPr>
        <w:t xml:space="preserve">Problem </w:t>
      </w:r>
      <w:r w:rsidR="00677803" w:rsidRPr="006B165D">
        <w:rPr>
          <w:b/>
        </w:rPr>
        <w:t>2</w:t>
      </w:r>
      <w:r w:rsidR="006B165D" w:rsidRPr="006B165D">
        <w:rPr>
          <w:b/>
        </w:rPr>
        <w:t>1.34</w:t>
      </w:r>
    </w:p>
    <w:p w:rsidR="006B165D" w:rsidRPr="006B165D" w:rsidRDefault="006B165D" w:rsidP="006B165D">
      <w:pPr>
        <w:autoSpaceDE w:val="0"/>
        <w:autoSpaceDN w:val="0"/>
        <w:adjustRightInd w:val="0"/>
        <w:spacing w:after="0" w:line="240" w:lineRule="auto"/>
        <w:rPr>
          <w:rFonts w:ascii="STIX" w:hAnsi="STIX" w:cs="STIX"/>
          <w:color w:val="000000"/>
          <w:sz w:val="24"/>
          <w:szCs w:val="24"/>
        </w:rPr>
      </w:pPr>
    </w:p>
    <w:p w:rsidR="006B165D" w:rsidRPr="006B165D" w:rsidRDefault="006B165D" w:rsidP="006B165D">
      <w:pPr>
        <w:autoSpaceDE w:val="0"/>
        <w:autoSpaceDN w:val="0"/>
        <w:adjustRightInd w:val="0"/>
        <w:spacing w:after="0" w:line="180" w:lineRule="atLeast"/>
        <w:rPr>
          <w:rFonts w:ascii="STIX" w:hAnsi="STIX" w:cs="STIX"/>
          <w:color w:val="211D1E"/>
          <w:sz w:val="24"/>
          <w:szCs w:val="18"/>
        </w:rPr>
      </w:pPr>
      <w:r w:rsidRPr="006B165D">
        <w:rPr>
          <w:rFonts w:ascii="STIX" w:hAnsi="STIX" w:cs="STIX"/>
          <w:color w:val="211D1E"/>
          <w:sz w:val="24"/>
          <w:szCs w:val="18"/>
        </w:rPr>
        <w:t xml:space="preserve">An </w:t>
      </w:r>
      <w:r w:rsidRPr="006B165D">
        <w:rPr>
          <w:rFonts w:ascii="STIX" w:hAnsi="STIX" w:cs="STIX"/>
          <w:i/>
          <w:iCs/>
          <w:color w:val="211D1E"/>
          <w:sz w:val="24"/>
          <w:szCs w:val="18"/>
        </w:rPr>
        <w:t>n</w:t>
      </w:r>
      <w:r w:rsidRPr="006B165D">
        <w:rPr>
          <w:rFonts w:ascii="STIX" w:hAnsi="STIX" w:cs="STIX"/>
          <w:color w:val="211D1E"/>
          <w:sz w:val="24"/>
          <w:szCs w:val="18"/>
        </w:rPr>
        <w:t xml:space="preserve">th-order rate law is often used to model chemical reactions that solely depend on the concentration of a single reactant: </w:t>
      </w:r>
    </w:p>
    <w:p w:rsidR="006B165D" w:rsidRDefault="006B165D" w:rsidP="006B165D">
      <w:pPr>
        <w:autoSpaceDE w:val="0"/>
        <w:autoSpaceDN w:val="0"/>
        <w:adjustRightInd w:val="0"/>
        <w:spacing w:after="0" w:line="180" w:lineRule="atLeast"/>
        <w:rPr>
          <w:rFonts w:ascii="STIX" w:hAnsi="STIX" w:cs="STIX"/>
          <w:color w:val="211D1E"/>
          <w:sz w:val="24"/>
          <w:szCs w:val="18"/>
        </w:rPr>
      </w:pPr>
    </w:p>
    <w:p w:rsidR="006B165D" w:rsidRDefault="006B165D" w:rsidP="006B165D">
      <w:pPr>
        <w:autoSpaceDE w:val="0"/>
        <w:autoSpaceDN w:val="0"/>
        <w:adjustRightInd w:val="0"/>
        <w:spacing w:after="0" w:line="180" w:lineRule="atLeast"/>
        <w:jc w:val="center"/>
        <w:rPr>
          <w:rFonts w:ascii="STIX" w:hAnsi="STIX" w:cs="STIX"/>
          <w:color w:val="211D1E"/>
          <w:sz w:val="24"/>
          <w:szCs w:val="18"/>
        </w:rPr>
      </w:pPr>
      <w:r w:rsidRPr="006B165D">
        <w:rPr>
          <w:rFonts w:ascii="STIX" w:hAnsi="STIX" w:cs="STIX"/>
          <w:color w:val="211D1E"/>
          <w:position w:val="-24"/>
          <w:sz w:val="24"/>
          <w:szCs w:val="18"/>
        </w:rPr>
        <w:object w:dxaOrig="12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9" type="#_x0000_t75" style="width:62.25pt;height:32.25pt" o:ole="">
            <v:imagedata r:id="rId7" o:title=""/>
          </v:shape>
          <o:OLEObject Type="Embed" ProgID="Equation.DSMT4" ShapeID="_x0000_i1549" DrawAspect="Content" ObjectID="_1551516911" r:id="rId8"/>
        </w:object>
      </w:r>
      <w:r>
        <w:rPr>
          <w:rFonts w:ascii="STIX" w:hAnsi="STIX" w:cs="STIX"/>
          <w:color w:val="211D1E"/>
          <w:sz w:val="24"/>
          <w:szCs w:val="18"/>
        </w:rPr>
        <w:t xml:space="preserve"> </w:t>
      </w:r>
    </w:p>
    <w:p w:rsidR="006B165D" w:rsidRDefault="006B165D" w:rsidP="006B165D">
      <w:pPr>
        <w:autoSpaceDE w:val="0"/>
        <w:autoSpaceDN w:val="0"/>
        <w:adjustRightInd w:val="0"/>
        <w:spacing w:after="0" w:line="180" w:lineRule="atLeast"/>
        <w:jc w:val="center"/>
        <w:rPr>
          <w:rFonts w:ascii="STIX" w:hAnsi="STIX" w:cs="STIX"/>
          <w:color w:val="211D1E"/>
          <w:sz w:val="24"/>
          <w:szCs w:val="18"/>
        </w:rPr>
      </w:pPr>
    </w:p>
    <w:p w:rsidR="006B165D" w:rsidRDefault="006B165D" w:rsidP="006B165D">
      <w:pPr>
        <w:autoSpaceDE w:val="0"/>
        <w:autoSpaceDN w:val="0"/>
        <w:adjustRightInd w:val="0"/>
        <w:spacing w:after="0" w:line="180" w:lineRule="atLeast"/>
        <w:rPr>
          <w:rFonts w:ascii="STIX" w:hAnsi="STIX" w:cs="STIX"/>
          <w:color w:val="211D1E"/>
          <w:sz w:val="24"/>
          <w:szCs w:val="18"/>
        </w:rPr>
      </w:pPr>
      <w:r w:rsidRPr="006B165D">
        <w:rPr>
          <w:rFonts w:ascii="STIX" w:hAnsi="STIX" w:cs="STIX"/>
          <w:color w:val="211D1E"/>
          <w:sz w:val="24"/>
          <w:szCs w:val="18"/>
        </w:rPr>
        <w:t xml:space="preserve">where </w:t>
      </w:r>
      <w:r w:rsidRPr="006B165D">
        <w:rPr>
          <w:rFonts w:ascii="STIX" w:hAnsi="STIX" w:cs="STIX"/>
          <w:i/>
          <w:iCs/>
          <w:color w:val="211D1E"/>
          <w:sz w:val="24"/>
          <w:szCs w:val="18"/>
        </w:rPr>
        <w:t xml:space="preserve">c </w:t>
      </w:r>
      <w:r w:rsidRPr="006B165D">
        <w:rPr>
          <w:rFonts w:ascii="STIX" w:hAnsi="STIX" w:cs="STIX"/>
          <w:color w:val="211D1E"/>
          <w:sz w:val="24"/>
          <w:szCs w:val="18"/>
        </w:rPr>
        <w:t xml:space="preserve">= concentration (mole), </w:t>
      </w:r>
      <w:r w:rsidRPr="006B165D">
        <w:rPr>
          <w:rFonts w:ascii="STIX" w:hAnsi="STIX" w:cs="STIX"/>
          <w:i/>
          <w:iCs/>
          <w:color w:val="211D1E"/>
          <w:sz w:val="24"/>
          <w:szCs w:val="18"/>
        </w:rPr>
        <w:t xml:space="preserve">t </w:t>
      </w:r>
      <w:r w:rsidRPr="006B165D">
        <w:rPr>
          <w:rFonts w:ascii="STIX" w:hAnsi="STIX" w:cs="STIX"/>
          <w:color w:val="211D1E"/>
          <w:sz w:val="24"/>
          <w:szCs w:val="18"/>
        </w:rPr>
        <w:t xml:space="preserve">= time (min), </w:t>
      </w:r>
      <w:r w:rsidRPr="006B165D">
        <w:rPr>
          <w:rFonts w:ascii="STIX" w:hAnsi="STIX" w:cs="STIX"/>
          <w:i/>
          <w:iCs/>
          <w:color w:val="211D1E"/>
          <w:sz w:val="24"/>
          <w:szCs w:val="18"/>
        </w:rPr>
        <w:t xml:space="preserve">n </w:t>
      </w:r>
      <w:r w:rsidRPr="006B165D">
        <w:rPr>
          <w:rFonts w:ascii="STIX" w:hAnsi="STIX" w:cs="STIX"/>
          <w:color w:val="211D1E"/>
          <w:sz w:val="24"/>
          <w:szCs w:val="18"/>
        </w:rPr>
        <w:t xml:space="preserve">= reaction order (dimensionless), and </w:t>
      </w:r>
      <w:r w:rsidRPr="006B165D">
        <w:rPr>
          <w:rFonts w:ascii="STIX" w:hAnsi="STIX" w:cs="STIX"/>
          <w:i/>
          <w:iCs/>
          <w:color w:val="211D1E"/>
          <w:sz w:val="24"/>
          <w:szCs w:val="18"/>
        </w:rPr>
        <w:t xml:space="preserve">k </w:t>
      </w:r>
      <w:r w:rsidRPr="006B165D">
        <w:rPr>
          <w:rFonts w:ascii="STIX" w:hAnsi="STIX" w:cs="STIX"/>
          <w:color w:val="211D1E"/>
          <w:sz w:val="24"/>
          <w:szCs w:val="18"/>
        </w:rPr>
        <w:t>= reaction rate (min</w:t>
      </w:r>
      <w:r w:rsidRPr="006B165D">
        <w:rPr>
          <w:rFonts w:ascii="STIX" w:hAnsi="STIX" w:cs="STIX"/>
          <w:color w:val="211D1E"/>
          <w:sz w:val="32"/>
          <w:vertAlign w:val="superscript"/>
        </w:rPr>
        <w:t>−1</w:t>
      </w:r>
      <w:r w:rsidRPr="006B165D">
        <w:rPr>
          <w:rFonts w:ascii="STIX" w:hAnsi="STIX" w:cs="STIX"/>
          <w:color w:val="211D1E"/>
          <w:sz w:val="24"/>
        </w:rPr>
        <w:t xml:space="preserve"> </w:t>
      </w:r>
      <w:r w:rsidRPr="006B165D">
        <w:rPr>
          <w:rFonts w:ascii="STIX" w:hAnsi="STIX" w:cs="STIX"/>
          <w:color w:val="211D1E"/>
          <w:sz w:val="24"/>
          <w:szCs w:val="18"/>
        </w:rPr>
        <w:t>mole</w:t>
      </w:r>
      <w:r w:rsidRPr="006B165D">
        <w:rPr>
          <w:rFonts w:ascii="STIX" w:hAnsi="STIX" w:cs="STIX"/>
          <w:color w:val="211D1E"/>
          <w:sz w:val="32"/>
          <w:vertAlign w:val="superscript"/>
        </w:rPr>
        <w:t>1−</w:t>
      </w:r>
      <w:r w:rsidRPr="006B165D">
        <w:rPr>
          <w:rFonts w:ascii="STIX" w:hAnsi="STIX" w:cs="STIX"/>
          <w:i/>
          <w:iCs/>
          <w:color w:val="211D1E"/>
          <w:sz w:val="32"/>
          <w:vertAlign w:val="superscript"/>
        </w:rPr>
        <w:t>n</w:t>
      </w:r>
      <w:r w:rsidRPr="006B165D">
        <w:rPr>
          <w:rFonts w:ascii="STIX" w:hAnsi="STIX" w:cs="STIX"/>
          <w:color w:val="211D1E"/>
          <w:sz w:val="24"/>
          <w:szCs w:val="18"/>
        </w:rPr>
        <w:t xml:space="preserve">). The </w:t>
      </w:r>
      <w:r w:rsidRPr="006B165D">
        <w:rPr>
          <w:rFonts w:ascii="STIX" w:hAnsi="STIX" w:cs="STIX"/>
          <w:i/>
          <w:iCs/>
          <w:color w:val="211D1E"/>
          <w:sz w:val="24"/>
          <w:szCs w:val="18"/>
        </w:rPr>
        <w:t xml:space="preserve">differential method </w:t>
      </w:r>
      <w:r w:rsidRPr="006B165D">
        <w:rPr>
          <w:rFonts w:ascii="STIX" w:hAnsi="STIX" w:cs="STIX"/>
          <w:color w:val="211D1E"/>
          <w:sz w:val="24"/>
          <w:szCs w:val="18"/>
        </w:rPr>
        <w:t xml:space="preserve">can be used to evaluate the parameters </w:t>
      </w:r>
      <w:r w:rsidRPr="006B165D">
        <w:rPr>
          <w:rFonts w:ascii="STIX" w:hAnsi="STIX" w:cs="STIX"/>
          <w:i/>
          <w:iCs/>
          <w:color w:val="211D1E"/>
          <w:sz w:val="24"/>
          <w:szCs w:val="18"/>
        </w:rPr>
        <w:t xml:space="preserve">k </w:t>
      </w:r>
      <w:r w:rsidRPr="006B165D">
        <w:rPr>
          <w:rFonts w:ascii="STIX" w:hAnsi="STIX" w:cs="STIX"/>
          <w:color w:val="211D1E"/>
          <w:sz w:val="24"/>
          <w:szCs w:val="18"/>
        </w:rPr>
        <w:t xml:space="preserve">and </w:t>
      </w:r>
      <w:r w:rsidRPr="006B165D">
        <w:rPr>
          <w:rFonts w:ascii="STIX" w:hAnsi="STIX" w:cs="STIX"/>
          <w:i/>
          <w:iCs/>
          <w:color w:val="211D1E"/>
          <w:sz w:val="24"/>
          <w:szCs w:val="18"/>
        </w:rPr>
        <w:t xml:space="preserve">n. </w:t>
      </w:r>
      <w:r w:rsidRPr="006B165D">
        <w:rPr>
          <w:rFonts w:ascii="STIX" w:hAnsi="STIX" w:cs="STIX"/>
          <w:color w:val="211D1E"/>
          <w:sz w:val="24"/>
          <w:szCs w:val="18"/>
        </w:rPr>
        <w:t>This involves applying a logarithmic transform to the rate law to yield,</w:t>
      </w:r>
    </w:p>
    <w:p w:rsidR="006B165D" w:rsidRPr="006B165D" w:rsidRDefault="006B165D" w:rsidP="006B165D">
      <w:pPr>
        <w:autoSpaceDE w:val="0"/>
        <w:autoSpaceDN w:val="0"/>
        <w:adjustRightInd w:val="0"/>
        <w:spacing w:after="0" w:line="180" w:lineRule="atLeast"/>
        <w:rPr>
          <w:rFonts w:ascii="STIX" w:hAnsi="STIX" w:cs="STIX"/>
          <w:color w:val="211D1E"/>
          <w:sz w:val="24"/>
          <w:szCs w:val="18"/>
        </w:rPr>
      </w:pPr>
    </w:p>
    <w:p w:rsidR="006B165D" w:rsidRDefault="006B165D" w:rsidP="006B165D">
      <w:pPr>
        <w:autoSpaceDE w:val="0"/>
        <w:autoSpaceDN w:val="0"/>
        <w:adjustRightInd w:val="0"/>
        <w:spacing w:after="0" w:line="180" w:lineRule="atLeast"/>
        <w:jc w:val="center"/>
        <w:rPr>
          <w:rFonts w:ascii="STIX" w:hAnsi="STIX" w:cs="STIX"/>
          <w:color w:val="211D1E"/>
          <w:sz w:val="24"/>
          <w:szCs w:val="18"/>
        </w:rPr>
      </w:pPr>
      <w:r w:rsidRPr="006B165D">
        <w:rPr>
          <w:rFonts w:ascii="STIX" w:hAnsi="STIX" w:cs="STIX"/>
          <w:color w:val="211D1E"/>
          <w:position w:val="-30"/>
          <w:sz w:val="24"/>
          <w:szCs w:val="18"/>
        </w:rPr>
        <w:object w:dxaOrig="2860" w:dyaOrig="720">
          <v:shape id="_x0000_i1552" type="#_x0000_t75" style="width:143.25pt;height:36pt" o:ole="">
            <v:imagedata r:id="rId9" o:title=""/>
          </v:shape>
          <o:OLEObject Type="Embed" ProgID="Equation.DSMT4" ShapeID="_x0000_i1552" DrawAspect="Content" ObjectID="_1551516912" r:id="rId10"/>
        </w:object>
      </w:r>
      <w:r>
        <w:rPr>
          <w:rFonts w:ascii="STIX" w:hAnsi="STIX" w:cs="STIX"/>
          <w:color w:val="211D1E"/>
          <w:sz w:val="24"/>
          <w:szCs w:val="18"/>
        </w:rPr>
        <w:t xml:space="preserve"> </w:t>
      </w:r>
    </w:p>
    <w:p w:rsidR="006B165D" w:rsidRDefault="006B165D" w:rsidP="006B165D">
      <w:pPr>
        <w:autoSpaceDE w:val="0"/>
        <w:autoSpaceDN w:val="0"/>
        <w:adjustRightInd w:val="0"/>
        <w:spacing w:after="0" w:line="180" w:lineRule="atLeast"/>
        <w:rPr>
          <w:rFonts w:ascii="STIX" w:hAnsi="STIX" w:cs="STIX"/>
          <w:color w:val="211D1E"/>
          <w:sz w:val="24"/>
          <w:szCs w:val="18"/>
        </w:rPr>
      </w:pPr>
    </w:p>
    <w:p w:rsidR="006B165D" w:rsidRPr="006B165D" w:rsidRDefault="006B165D" w:rsidP="006B165D">
      <w:pPr>
        <w:autoSpaceDE w:val="0"/>
        <w:autoSpaceDN w:val="0"/>
        <w:adjustRightInd w:val="0"/>
        <w:spacing w:after="0" w:line="180" w:lineRule="atLeast"/>
        <w:rPr>
          <w:rFonts w:ascii="STIX" w:hAnsi="STIX" w:cs="STIX"/>
          <w:color w:val="211D1E"/>
          <w:sz w:val="24"/>
          <w:szCs w:val="18"/>
        </w:rPr>
      </w:pPr>
      <w:r w:rsidRPr="006B165D">
        <w:rPr>
          <w:rFonts w:ascii="STIX" w:hAnsi="STIX" w:cs="STIX"/>
          <w:color w:val="211D1E"/>
          <w:sz w:val="24"/>
          <w:szCs w:val="18"/>
        </w:rPr>
        <w:t xml:space="preserve">Therefore, if the </w:t>
      </w:r>
      <w:r w:rsidRPr="006B165D">
        <w:rPr>
          <w:rFonts w:ascii="STIX" w:hAnsi="STIX" w:cs="STIX"/>
          <w:i/>
          <w:iCs/>
          <w:color w:val="211D1E"/>
          <w:sz w:val="24"/>
          <w:szCs w:val="18"/>
        </w:rPr>
        <w:t>n</w:t>
      </w:r>
      <w:r w:rsidRPr="006B165D">
        <w:rPr>
          <w:rFonts w:ascii="STIX" w:hAnsi="STIX" w:cs="STIX"/>
          <w:color w:val="211D1E"/>
          <w:sz w:val="24"/>
          <w:szCs w:val="18"/>
        </w:rPr>
        <w:t>th-order rate law holds, a plot of the log(−</w:t>
      </w:r>
      <w:r w:rsidRPr="006B165D">
        <w:rPr>
          <w:rFonts w:ascii="STIX" w:hAnsi="STIX" w:cs="STIX"/>
          <w:i/>
          <w:iCs/>
          <w:color w:val="211D1E"/>
          <w:sz w:val="24"/>
          <w:szCs w:val="18"/>
        </w:rPr>
        <w:t>dc</w:t>
      </w:r>
      <w:r w:rsidRPr="006B165D">
        <w:rPr>
          <w:rFonts w:ascii="STIX" w:hAnsi="STIX" w:cs="STIX"/>
          <w:color w:val="211D1E"/>
          <w:sz w:val="24"/>
          <w:szCs w:val="18"/>
        </w:rPr>
        <w:t>∕</w:t>
      </w:r>
      <w:r w:rsidRPr="006B165D">
        <w:rPr>
          <w:rFonts w:ascii="STIX" w:hAnsi="STIX" w:cs="STIX"/>
          <w:i/>
          <w:iCs/>
          <w:color w:val="211D1E"/>
          <w:sz w:val="24"/>
          <w:szCs w:val="18"/>
        </w:rPr>
        <w:t>dt</w:t>
      </w:r>
      <w:r w:rsidRPr="006B165D">
        <w:rPr>
          <w:rFonts w:ascii="STIX" w:hAnsi="STIX" w:cs="STIX"/>
          <w:color w:val="211D1E"/>
          <w:sz w:val="24"/>
          <w:szCs w:val="18"/>
        </w:rPr>
        <w:t xml:space="preserve">) versus log </w:t>
      </w:r>
      <w:r w:rsidRPr="006B165D">
        <w:rPr>
          <w:rFonts w:ascii="STIX" w:hAnsi="STIX" w:cs="STIX"/>
          <w:i/>
          <w:iCs/>
          <w:color w:val="211D1E"/>
          <w:sz w:val="24"/>
          <w:szCs w:val="18"/>
        </w:rPr>
        <w:t xml:space="preserve">c </w:t>
      </w:r>
      <w:r w:rsidRPr="006B165D">
        <w:rPr>
          <w:rFonts w:ascii="STIX" w:hAnsi="STIX" w:cs="STIX"/>
          <w:color w:val="211D1E"/>
          <w:sz w:val="24"/>
          <w:szCs w:val="18"/>
        </w:rPr>
        <w:t xml:space="preserve">should yield a straight line with a slope of </w:t>
      </w:r>
      <w:r w:rsidRPr="006B165D">
        <w:rPr>
          <w:rFonts w:ascii="STIX" w:hAnsi="STIX" w:cs="STIX"/>
          <w:i/>
          <w:iCs/>
          <w:color w:val="211D1E"/>
          <w:sz w:val="24"/>
          <w:szCs w:val="18"/>
        </w:rPr>
        <w:t xml:space="preserve">n </w:t>
      </w:r>
      <w:r w:rsidRPr="006B165D">
        <w:rPr>
          <w:rFonts w:ascii="STIX" w:hAnsi="STIX" w:cs="STIX"/>
          <w:color w:val="211D1E"/>
          <w:sz w:val="24"/>
          <w:szCs w:val="18"/>
        </w:rPr>
        <w:t xml:space="preserve">and an intercept of log </w:t>
      </w:r>
      <w:r w:rsidRPr="006B165D">
        <w:rPr>
          <w:rFonts w:ascii="STIX" w:hAnsi="STIX" w:cs="STIX"/>
          <w:i/>
          <w:iCs/>
          <w:color w:val="211D1E"/>
          <w:sz w:val="24"/>
          <w:szCs w:val="18"/>
        </w:rPr>
        <w:t xml:space="preserve">k. </w:t>
      </w:r>
      <w:r w:rsidRPr="006B165D">
        <w:rPr>
          <w:rFonts w:ascii="STIX" w:hAnsi="STIX" w:cs="STIX"/>
          <w:color w:val="211D1E"/>
          <w:sz w:val="24"/>
          <w:szCs w:val="18"/>
        </w:rPr>
        <w:t xml:space="preserve">Use the differential method and linear regression to determine </w:t>
      </w:r>
      <w:r w:rsidRPr="006B165D">
        <w:rPr>
          <w:rFonts w:ascii="STIX" w:hAnsi="STIX" w:cs="STIX"/>
          <w:i/>
          <w:iCs/>
          <w:color w:val="211D1E"/>
          <w:sz w:val="24"/>
          <w:szCs w:val="18"/>
        </w:rPr>
        <w:t xml:space="preserve">k </w:t>
      </w:r>
      <w:r w:rsidRPr="006B165D">
        <w:rPr>
          <w:rFonts w:ascii="STIX" w:hAnsi="STIX" w:cs="STIX"/>
          <w:color w:val="211D1E"/>
          <w:sz w:val="24"/>
          <w:szCs w:val="18"/>
        </w:rPr>
        <w:t xml:space="preserve">and </w:t>
      </w:r>
      <w:r w:rsidRPr="006B165D">
        <w:rPr>
          <w:rFonts w:ascii="STIX" w:hAnsi="STIX" w:cs="STIX"/>
          <w:i/>
          <w:iCs/>
          <w:color w:val="211D1E"/>
          <w:sz w:val="24"/>
          <w:szCs w:val="18"/>
        </w:rPr>
        <w:t xml:space="preserve">n </w:t>
      </w:r>
      <w:r w:rsidRPr="006B165D">
        <w:rPr>
          <w:rFonts w:ascii="STIX" w:hAnsi="STIX" w:cs="STIX"/>
          <w:color w:val="211D1E"/>
          <w:sz w:val="24"/>
          <w:szCs w:val="18"/>
        </w:rPr>
        <w:t>for the following data for the conversion of ammonium cyanate to urea: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45"/>
        <w:gridCol w:w="1345"/>
        <w:gridCol w:w="1345"/>
        <w:gridCol w:w="1345"/>
        <w:gridCol w:w="1345"/>
        <w:gridCol w:w="1345"/>
      </w:tblGrid>
      <w:tr w:rsidR="006B165D" w:rsidRPr="006B165D" w:rsidTr="006B165D">
        <w:trPr>
          <w:trHeight w:val="804"/>
        </w:trPr>
        <w:tc>
          <w:tcPr>
            <w:tcW w:w="1345" w:type="dxa"/>
          </w:tcPr>
          <w:p w:rsidR="006B165D" w:rsidRPr="006B165D" w:rsidRDefault="006B165D" w:rsidP="00A26238">
            <w:pPr>
              <w:autoSpaceDE w:val="0"/>
              <w:autoSpaceDN w:val="0"/>
              <w:adjustRightInd w:val="0"/>
              <w:spacing w:before="380" w:after="0" w:line="160" w:lineRule="atLeast"/>
              <w:rPr>
                <w:rFonts w:ascii="STIX" w:hAnsi="STIX" w:cs="STIX"/>
                <w:b/>
                <w:bCs/>
                <w:color w:val="211D1E"/>
                <w:sz w:val="24"/>
                <w:szCs w:val="16"/>
              </w:rPr>
            </w:pPr>
            <w:r w:rsidRPr="006B165D">
              <w:rPr>
                <w:rFonts w:ascii="STIX" w:hAnsi="STIX" w:cs="STIX"/>
                <w:b/>
                <w:bCs/>
                <w:i/>
                <w:iCs/>
                <w:color w:val="211D1E"/>
                <w:sz w:val="24"/>
                <w:szCs w:val="16"/>
              </w:rPr>
              <w:t>t,</w:t>
            </w:r>
            <w:r>
              <w:rPr>
                <w:rFonts w:ascii="STIX" w:hAnsi="STIX" w:cs="STIX"/>
                <w:b/>
                <w:bCs/>
                <w:i/>
                <w:iCs/>
                <w:color w:val="211D1E"/>
                <w:sz w:val="24"/>
                <w:szCs w:val="16"/>
              </w:rPr>
              <w:t xml:space="preserve"> </w:t>
            </w:r>
            <w:r w:rsidRPr="006B165D">
              <w:rPr>
                <w:rFonts w:ascii="STIX" w:hAnsi="STIX" w:cs="STIX"/>
                <w:b/>
                <w:bCs/>
                <w:color w:val="211D1E"/>
                <w:sz w:val="24"/>
                <w:szCs w:val="16"/>
              </w:rPr>
              <w:t>min</w:t>
            </w:r>
          </w:p>
        </w:tc>
        <w:tc>
          <w:tcPr>
            <w:tcW w:w="1345" w:type="dxa"/>
          </w:tcPr>
          <w:p w:rsidR="006B165D" w:rsidRPr="006B165D" w:rsidRDefault="006B165D" w:rsidP="00A26238">
            <w:pPr>
              <w:autoSpaceDE w:val="0"/>
              <w:autoSpaceDN w:val="0"/>
              <w:adjustRightInd w:val="0"/>
              <w:spacing w:before="380" w:after="0" w:line="160" w:lineRule="atLeast"/>
              <w:rPr>
                <w:rFonts w:ascii="STIX" w:hAnsi="STIX" w:cs="STIX"/>
                <w:color w:val="211D1E"/>
                <w:sz w:val="24"/>
                <w:szCs w:val="16"/>
              </w:rPr>
            </w:pPr>
            <w:r w:rsidRPr="006B165D">
              <w:rPr>
                <w:rFonts w:ascii="STIX" w:hAnsi="STIX" w:cs="STIX"/>
                <w:color w:val="211D1E"/>
                <w:sz w:val="24"/>
                <w:szCs w:val="16"/>
              </w:rPr>
              <w:t>0</w:t>
            </w:r>
          </w:p>
        </w:tc>
        <w:tc>
          <w:tcPr>
            <w:tcW w:w="1345" w:type="dxa"/>
          </w:tcPr>
          <w:p w:rsidR="006B165D" w:rsidRPr="006B165D" w:rsidRDefault="006B165D" w:rsidP="00A26238">
            <w:pPr>
              <w:autoSpaceDE w:val="0"/>
              <w:autoSpaceDN w:val="0"/>
              <w:adjustRightInd w:val="0"/>
              <w:spacing w:before="380" w:after="0" w:line="160" w:lineRule="atLeast"/>
              <w:rPr>
                <w:rFonts w:ascii="STIX" w:hAnsi="STIX" w:cs="STIX"/>
                <w:color w:val="211D1E"/>
                <w:sz w:val="24"/>
                <w:szCs w:val="16"/>
              </w:rPr>
            </w:pPr>
            <w:r w:rsidRPr="006B165D">
              <w:rPr>
                <w:rFonts w:ascii="STIX" w:hAnsi="STIX" w:cs="STIX"/>
                <w:color w:val="211D1E"/>
                <w:sz w:val="24"/>
                <w:szCs w:val="16"/>
              </w:rPr>
              <w:t>5</w:t>
            </w:r>
          </w:p>
        </w:tc>
        <w:tc>
          <w:tcPr>
            <w:tcW w:w="1345" w:type="dxa"/>
          </w:tcPr>
          <w:p w:rsidR="006B165D" w:rsidRPr="006B165D" w:rsidRDefault="006B165D" w:rsidP="00A26238">
            <w:pPr>
              <w:autoSpaceDE w:val="0"/>
              <w:autoSpaceDN w:val="0"/>
              <w:adjustRightInd w:val="0"/>
              <w:spacing w:before="380" w:after="0" w:line="160" w:lineRule="atLeast"/>
              <w:rPr>
                <w:rFonts w:ascii="STIX" w:hAnsi="STIX" w:cs="STIX"/>
                <w:color w:val="211D1E"/>
                <w:sz w:val="24"/>
                <w:szCs w:val="16"/>
              </w:rPr>
            </w:pPr>
            <w:r w:rsidRPr="006B165D">
              <w:rPr>
                <w:rFonts w:ascii="STIX" w:hAnsi="STIX" w:cs="STIX"/>
                <w:color w:val="211D1E"/>
                <w:sz w:val="24"/>
                <w:szCs w:val="16"/>
              </w:rPr>
              <w:t>15</w:t>
            </w:r>
          </w:p>
        </w:tc>
        <w:tc>
          <w:tcPr>
            <w:tcW w:w="1345" w:type="dxa"/>
          </w:tcPr>
          <w:p w:rsidR="006B165D" w:rsidRPr="006B165D" w:rsidRDefault="006B165D" w:rsidP="00A26238">
            <w:pPr>
              <w:autoSpaceDE w:val="0"/>
              <w:autoSpaceDN w:val="0"/>
              <w:adjustRightInd w:val="0"/>
              <w:spacing w:before="380" w:after="0" w:line="160" w:lineRule="atLeast"/>
              <w:rPr>
                <w:rFonts w:ascii="STIX" w:hAnsi="STIX" w:cs="STIX"/>
                <w:color w:val="211D1E"/>
                <w:sz w:val="24"/>
                <w:szCs w:val="16"/>
              </w:rPr>
            </w:pPr>
            <w:r w:rsidRPr="006B165D">
              <w:rPr>
                <w:rFonts w:ascii="STIX" w:hAnsi="STIX" w:cs="STIX"/>
                <w:color w:val="211D1E"/>
                <w:sz w:val="24"/>
                <w:szCs w:val="16"/>
              </w:rPr>
              <w:t>30</w:t>
            </w:r>
          </w:p>
        </w:tc>
        <w:tc>
          <w:tcPr>
            <w:tcW w:w="1345" w:type="dxa"/>
          </w:tcPr>
          <w:p w:rsidR="006B165D" w:rsidRPr="006B165D" w:rsidRDefault="006B165D" w:rsidP="00A26238">
            <w:pPr>
              <w:autoSpaceDE w:val="0"/>
              <w:autoSpaceDN w:val="0"/>
              <w:adjustRightInd w:val="0"/>
              <w:spacing w:before="380" w:after="0" w:line="160" w:lineRule="atLeast"/>
              <w:rPr>
                <w:rFonts w:ascii="STIX" w:hAnsi="STIX" w:cs="STIX"/>
                <w:color w:val="211D1E"/>
                <w:sz w:val="24"/>
                <w:szCs w:val="16"/>
              </w:rPr>
            </w:pPr>
            <w:r w:rsidRPr="006B165D">
              <w:rPr>
                <w:rFonts w:ascii="STIX" w:hAnsi="STIX" w:cs="STIX"/>
                <w:color w:val="211D1E"/>
                <w:sz w:val="24"/>
                <w:szCs w:val="16"/>
              </w:rPr>
              <w:t>45</w:t>
            </w:r>
          </w:p>
        </w:tc>
      </w:tr>
      <w:tr w:rsidR="006B165D" w:rsidRPr="006B165D" w:rsidTr="006B165D">
        <w:trPr>
          <w:trHeight w:val="410"/>
        </w:trPr>
        <w:tc>
          <w:tcPr>
            <w:tcW w:w="1345" w:type="dxa"/>
          </w:tcPr>
          <w:p w:rsidR="006B165D" w:rsidRPr="006B165D" w:rsidRDefault="006B165D" w:rsidP="00A26238">
            <w:pPr>
              <w:autoSpaceDE w:val="0"/>
              <w:autoSpaceDN w:val="0"/>
              <w:adjustRightInd w:val="0"/>
              <w:spacing w:after="0" w:line="240" w:lineRule="auto"/>
              <w:rPr>
                <w:rFonts w:ascii="STIX" w:hAnsi="STIX" w:cs="STIX"/>
                <w:b/>
                <w:bCs/>
                <w:color w:val="211D1E"/>
                <w:sz w:val="24"/>
                <w:szCs w:val="16"/>
              </w:rPr>
            </w:pPr>
            <w:r w:rsidRPr="006B165D">
              <w:rPr>
                <w:rFonts w:ascii="STIX" w:hAnsi="STIX" w:cs="STIX"/>
                <w:b/>
                <w:bCs/>
                <w:i/>
                <w:iCs/>
                <w:color w:val="211D1E"/>
                <w:sz w:val="24"/>
                <w:szCs w:val="16"/>
              </w:rPr>
              <w:t>c,</w:t>
            </w:r>
            <w:r>
              <w:rPr>
                <w:rFonts w:ascii="STIX" w:hAnsi="STIX" w:cs="STIX"/>
                <w:b/>
                <w:bCs/>
                <w:i/>
                <w:iCs/>
                <w:color w:val="211D1E"/>
                <w:sz w:val="24"/>
                <w:szCs w:val="16"/>
              </w:rPr>
              <w:t xml:space="preserve"> </w:t>
            </w:r>
            <w:r w:rsidRPr="006B165D">
              <w:rPr>
                <w:rFonts w:ascii="STIX" w:hAnsi="STIX" w:cs="STIX"/>
                <w:b/>
                <w:bCs/>
                <w:color w:val="211D1E"/>
                <w:sz w:val="24"/>
                <w:szCs w:val="16"/>
              </w:rPr>
              <w:t>mole</w:t>
            </w:r>
          </w:p>
        </w:tc>
        <w:tc>
          <w:tcPr>
            <w:tcW w:w="1345" w:type="dxa"/>
          </w:tcPr>
          <w:p w:rsidR="006B165D" w:rsidRPr="006B165D" w:rsidRDefault="006B165D" w:rsidP="00A26238">
            <w:pPr>
              <w:autoSpaceDE w:val="0"/>
              <w:autoSpaceDN w:val="0"/>
              <w:adjustRightInd w:val="0"/>
              <w:spacing w:after="0" w:line="240" w:lineRule="auto"/>
              <w:rPr>
                <w:rFonts w:ascii="STIX" w:hAnsi="STIX" w:cs="STIX"/>
                <w:color w:val="211D1E"/>
                <w:sz w:val="24"/>
                <w:szCs w:val="16"/>
              </w:rPr>
            </w:pPr>
            <w:r w:rsidRPr="006B165D">
              <w:rPr>
                <w:rFonts w:ascii="STIX" w:hAnsi="STIX" w:cs="STIX"/>
                <w:color w:val="211D1E"/>
                <w:sz w:val="24"/>
                <w:szCs w:val="16"/>
              </w:rPr>
              <w:t>0.750</w:t>
            </w:r>
          </w:p>
        </w:tc>
        <w:tc>
          <w:tcPr>
            <w:tcW w:w="1345" w:type="dxa"/>
          </w:tcPr>
          <w:p w:rsidR="006B165D" w:rsidRPr="006B165D" w:rsidRDefault="006B165D" w:rsidP="00A26238">
            <w:pPr>
              <w:autoSpaceDE w:val="0"/>
              <w:autoSpaceDN w:val="0"/>
              <w:adjustRightInd w:val="0"/>
              <w:spacing w:after="0" w:line="240" w:lineRule="auto"/>
              <w:rPr>
                <w:rFonts w:ascii="STIX" w:hAnsi="STIX" w:cs="STIX"/>
                <w:color w:val="211D1E"/>
                <w:sz w:val="24"/>
                <w:szCs w:val="16"/>
              </w:rPr>
            </w:pPr>
            <w:r w:rsidRPr="006B165D">
              <w:rPr>
                <w:rFonts w:ascii="STIX" w:hAnsi="STIX" w:cs="STIX"/>
                <w:color w:val="211D1E"/>
                <w:sz w:val="24"/>
                <w:szCs w:val="16"/>
              </w:rPr>
              <w:t>0.594</w:t>
            </w:r>
          </w:p>
        </w:tc>
        <w:tc>
          <w:tcPr>
            <w:tcW w:w="1345" w:type="dxa"/>
          </w:tcPr>
          <w:p w:rsidR="006B165D" w:rsidRPr="006B165D" w:rsidRDefault="006B165D" w:rsidP="00A26238">
            <w:pPr>
              <w:autoSpaceDE w:val="0"/>
              <w:autoSpaceDN w:val="0"/>
              <w:adjustRightInd w:val="0"/>
              <w:spacing w:after="0" w:line="240" w:lineRule="auto"/>
              <w:rPr>
                <w:rFonts w:ascii="STIX" w:hAnsi="STIX" w:cs="STIX"/>
                <w:color w:val="211D1E"/>
                <w:sz w:val="24"/>
                <w:szCs w:val="16"/>
              </w:rPr>
            </w:pPr>
            <w:r w:rsidRPr="006B165D">
              <w:rPr>
                <w:rFonts w:ascii="STIX" w:hAnsi="STIX" w:cs="STIX"/>
                <w:color w:val="211D1E"/>
                <w:sz w:val="24"/>
                <w:szCs w:val="16"/>
              </w:rPr>
              <w:t>0.420</w:t>
            </w:r>
          </w:p>
        </w:tc>
        <w:tc>
          <w:tcPr>
            <w:tcW w:w="1345" w:type="dxa"/>
          </w:tcPr>
          <w:p w:rsidR="006B165D" w:rsidRPr="006B165D" w:rsidRDefault="006B165D" w:rsidP="00A26238">
            <w:pPr>
              <w:autoSpaceDE w:val="0"/>
              <w:autoSpaceDN w:val="0"/>
              <w:adjustRightInd w:val="0"/>
              <w:spacing w:after="0" w:line="240" w:lineRule="auto"/>
              <w:rPr>
                <w:rFonts w:ascii="STIX" w:hAnsi="STIX" w:cs="STIX"/>
                <w:color w:val="211D1E"/>
                <w:sz w:val="24"/>
                <w:szCs w:val="16"/>
              </w:rPr>
            </w:pPr>
            <w:r w:rsidRPr="006B165D">
              <w:rPr>
                <w:rFonts w:ascii="STIX" w:hAnsi="STIX" w:cs="STIX"/>
                <w:color w:val="211D1E"/>
                <w:sz w:val="24"/>
                <w:szCs w:val="16"/>
              </w:rPr>
              <w:t>0.291</w:t>
            </w:r>
          </w:p>
        </w:tc>
        <w:tc>
          <w:tcPr>
            <w:tcW w:w="1345" w:type="dxa"/>
          </w:tcPr>
          <w:p w:rsidR="006B165D" w:rsidRPr="006B165D" w:rsidRDefault="006B165D" w:rsidP="00A26238">
            <w:pPr>
              <w:autoSpaceDE w:val="0"/>
              <w:autoSpaceDN w:val="0"/>
              <w:adjustRightInd w:val="0"/>
              <w:spacing w:after="0" w:line="240" w:lineRule="auto"/>
              <w:rPr>
                <w:rFonts w:ascii="STIX" w:hAnsi="STIX" w:cs="STIX"/>
                <w:sz w:val="24"/>
              </w:rPr>
            </w:pPr>
            <w:r w:rsidRPr="006B165D">
              <w:rPr>
                <w:rFonts w:ascii="STIX" w:hAnsi="STIX" w:cs="STIX"/>
                <w:color w:val="211D1E"/>
                <w:sz w:val="24"/>
                <w:szCs w:val="16"/>
              </w:rPr>
              <w:t>0.223</w:t>
            </w:r>
          </w:p>
        </w:tc>
      </w:tr>
    </w:tbl>
    <w:p w:rsidR="006A2ECB" w:rsidRPr="006B165D" w:rsidRDefault="006A2ECB" w:rsidP="006B165D">
      <w:pPr>
        <w:autoSpaceDE w:val="0"/>
        <w:autoSpaceDN w:val="0"/>
        <w:adjustRightInd w:val="0"/>
        <w:spacing w:after="0" w:line="240" w:lineRule="auto"/>
        <w:rPr>
          <w:rFonts w:ascii="STIX" w:hAnsi="STIX" w:cs="STIX"/>
          <w:sz w:val="24"/>
        </w:rPr>
      </w:pPr>
    </w:p>
    <w:sectPr w:rsidR="006A2ECB" w:rsidRPr="006B165D"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124</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2017-03-20T17:58:00Z</dcterms:created>
  <dcterms:modified xsi:type="dcterms:W3CDTF">2017-03-20T17:58:00Z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