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F655FD">
        <w:rPr>
          <w:b/>
          <w:noProof/>
          <w:sz w:val="20"/>
          <w:szCs w:val="20"/>
        </w:rPr>
        <w:t>11</w:t>
      </w:r>
    </w:p>
    <w:p w:rsidR="008E49A1" w:rsidRDefault="008E49A1" w:rsidP="005950FD">
      <w:pPr>
        <w:pStyle w:val="Default"/>
        <w:rPr>
          <w:rFonts w:ascii="Courier New" w:eastAsia="Times New Roman" w:hAnsi="Courier New" w:cs="Courier New"/>
          <w:sz w:val="18"/>
          <w:szCs w:val="26"/>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sz w:val="20"/>
          <w:szCs w:val="24"/>
        </w:rPr>
        <w:t xml:space="preserve">The first forward difference formula of </w:t>
      </w:r>
      <w:r w:rsidRPr="00F655FD">
        <w:rPr>
          <w:rFonts w:ascii="STIX" w:eastAsia="Times New Roman" w:hAnsi="STIX"/>
          <w:i/>
          <w:sz w:val="20"/>
          <w:szCs w:val="24"/>
        </w:rPr>
        <w:t>O</w:t>
      </w:r>
      <w:r w:rsidRPr="00F655FD">
        <w:rPr>
          <w:rFonts w:ascii="Courier New" w:eastAsia="Times New Roman" w:hAnsi="Courier New"/>
          <w:sz w:val="20"/>
          <w:szCs w:val="24"/>
        </w:rPr>
        <w:t>(</w:t>
      </w:r>
      <w:r w:rsidRPr="00F655FD">
        <w:rPr>
          <w:rFonts w:ascii="STIX" w:eastAsia="Times New Roman" w:hAnsi="STIX"/>
          <w:i/>
          <w:sz w:val="20"/>
          <w:szCs w:val="24"/>
        </w:rPr>
        <w:t>h</w:t>
      </w:r>
      <w:r w:rsidRPr="00F655FD">
        <w:rPr>
          <w:rFonts w:ascii="STIX" w:eastAsia="Times New Roman" w:hAnsi="STIX"/>
          <w:sz w:val="20"/>
          <w:szCs w:val="24"/>
          <w:vertAlign w:val="superscript"/>
        </w:rPr>
        <w:t>2</w:t>
      </w:r>
      <w:r w:rsidRPr="00F655FD">
        <w:rPr>
          <w:rFonts w:ascii="Courier New" w:eastAsia="Times New Roman" w:hAnsi="Courier New"/>
          <w:sz w:val="20"/>
          <w:szCs w:val="24"/>
        </w:rPr>
        <w:t>)</w:t>
      </w:r>
      <w:r w:rsidRPr="00F655FD">
        <w:rPr>
          <w:rFonts w:ascii="STIX" w:eastAsia="Times New Roman" w:hAnsi="STIX"/>
          <w:sz w:val="20"/>
          <w:szCs w:val="24"/>
        </w:rPr>
        <w:t xml:space="preserve"> from Fig. 21.3 can be used to estimate the velocity for the first point at </w:t>
      </w:r>
      <w:r w:rsidRPr="00F655FD">
        <w:rPr>
          <w:rFonts w:ascii="STIX" w:eastAsia="Times New Roman" w:hAnsi="STIX"/>
          <w:i/>
          <w:sz w:val="20"/>
          <w:szCs w:val="24"/>
        </w:rPr>
        <w:t>t</w:t>
      </w:r>
      <w:r w:rsidRPr="00F655FD">
        <w:rPr>
          <w:rFonts w:ascii="STIX" w:eastAsia="Times New Roman" w:hAnsi="STIX"/>
          <w:sz w:val="20"/>
          <w:szCs w:val="24"/>
        </w:rPr>
        <w:t xml:space="preserve"> </w:t>
      </w:r>
      <w:r w:rsidRPr="00F655FD">
        <w:rPr>
          <w:rFonts w:ascii="Courier New" w:eastAsia="Times New Roman" w:hAnsi="Courier New"/>
          <w:sz w:val="20"/>
          <w:szCs w:val="24"/>
        </w:rPr>
        <w:t>=</w:t>
      </w:r>
      <w:r w:rsidRPr="00F655FD">
        <w:rPr>
          <w:rFonts w:ascii="STIX" w:eastAsia="Times New Roman" w:hAnsi="STIX"/>
          <w:sz w:val="20"/>
          <w:szCs w:val="24"/>
        </w:rPr>
        <w:t xml:space="preserve"> 0,</w: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position w:val="-28"/>
          <w:sz w:val="20"/>
          <w:szCs w:val="24"/>
        </w:rPr>
        <w:object w:dxaOrig="34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54" type="#_x0000_t75" style="width:173.25pt;height:33.75pt" o:ole="">
            <v:imagedata r:id="rId8" o:title=""/>
          </v:shape>
          <o:OLEObject Type="Embed" ProgID="Equation.DSMT4" ShapeID="_x0000_i4054" DrawAspect="Content" ObjectID="_1552486620" r:id="rId9"/>
        </w:objec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sz w:val="20"/>
          <w:szCs w:val="24"/>
        </w:rPr>
        <w:t xml:space="preserve">The acceleration can be estimated with the second forward difference formula of </w:t>
      </w:r>
      <w:r w:rsidRPr="00F655FD">
        <w:rPr>
          <w:rFonts w:ascii="STIX" w:eastAsia="Times New Roman" w:hAnsi="STIX"/>
          <w:i/>
          <w:sz w:val="20"/>
          <w:szCs w:val="24"/>
        </w:rPr>
        <w:t>O</w:t>
      </w:r>
      <w:r w:rsidRPr="00F655FD">
        <w:rPr>
          <w:rFonts w:ascii="Courier New" w:eastAsia="Times New Roman" w:hAnsi="Courier New"/>
          <w:sz w:val="20"/>
          <w:szCs w:val="24"/>
        </w:rPr>
        <w:t>(</w:t>
      </w:r>
      <w:r w:rsidRPr="00F655FD">
        <w:rPr>
          <w:rFonts w:ascii="STIX" w:eastAsia="Times New Roman" w:hAnsi="STIX"/>
          <w:i/>
          <w:sz w:val="20"/>
          <w:szCs w:val="24"/>
        </w:rPr>
        <w:t>h</w:t>
      </w:r>
      <w:r w:rsidRPr="00F655FD">
        <w:rPr>
          <w:rFonts w:ascii="STIX" w:eastAsia="Times New Roman" w:hAnsi="STIX"/>
          <w:sz w:val="20"/>
          <w:szCs w:val="24"/>
          <w:vertAlign w:val="superscript"/>
        </w:rPr>
        <w:t>2</w:t>
      </w:r>
      <w:r w:rsidRPr="00F655FD">
        <w:rPr>
          <w:rFonts w:ascii="Courier New" w:eastAsia="Times New Roman" w:hAnsi="Courier New"/>
          <w:sz w:val="20"/>
          <w:szCs w:val="24"/>
        </w:rPr>
        <w:t>)</w:t>
      </w:r>
      <w:r w:rsidRPr="00F655FD">
        <w:rPr>
          <w:rFonts w:ascii="STIX" w:eastAsia="Times New Roman" w:hAnsi="STIX"/>
          <w:sz w:val="20"/>
          <w:szCs w:val="24"/>
        </w:rPr>
        <w:t xml:space="preserve"> from Fig. 21.3 </w: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position w:val="-28"/>
          <w:sz w:val="20"/>
          <w:szCs w:val="24"/>
        </w:rPr>
        <w:object w:dxaOrig="4760" w:dyaOrig="680">
          <v:shape id="_x0000_i4055" type="#_x0000_t75" style="width:237.75pt;height:33.75pt" o:ole="">
            <v:imagedata r:id="rId10" o:title=""/>
          </v:shape>
          <o:OLEObject Type="Embed" ProgID="Equation.DSMT4" ShapeID="_x0000_i4055" DrawAspect="Content" ObjectID="_1552486621" r:id="rId11"/>
        </w:objec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sz w:val="20"/>
          <w:szCs w:val="24"/>
        </w:rPr>
        <w:t xml:space="preserve">For the interior points, centered difference formulas of </w:t>
      </w:r>
      <w:r w:rsidRPr="00F655FD">
        <w:rPr>
          <w:rFonts w:ascii="STIX" w:eastAsia="Times New Roman" w:hAnsi="STIX"/>
          <w:i/>
          <w:sz w:val="20"/>
          <w:szCs w:val="24"/>
        </w:rPr>
        <w:t>O</w:t>
      </w:r>
      <w:r w:rsidRPr="00F655FD">
        <w:rPr>
          <w:rFonts w:ascii="Courier New" w:eastAsia="Times New Roman" w:hAnsi="Courier New"/>
          <w:sz w:val="20"/>
          <w:szCs w:val="24"/>
        </w:rPr>
        <w:t>(</w:t>
      </w:r>
      <w:r w:rsidRPr="00F655FD">
        <w:rPr>
          <w:rFonts w:ascii="STIX" w:eastAsia="Times New Roman" w:hAnsi="STIX"/>
          <w:i/>
          <w:sz w:val="20"/>
          <w:szCs w:val="24"/>
        </w:rPr>
        <w:t>h</w:t>
      </w:r>
      <w:r w:rsidRPr="00F655FD">
        <w:rPr>
          <w:rFonts w:ascii="STIX" w:eastAsia="Times New Roman" w:hAnsi="STIX"/>
          <w:sz w:val="20"/>
          <w:szCs w:val="24"/>
          <w:vertAlign w:val="superscript"/>
        </w:rPr>
        <w:t>2</w:t>
      </w:r>
      <w:r w:rsidRPr="00F655FD">
        <w:rPr>
          <w:rFonts w:ascii="Courier New" w:eastAsia="Times New Roman" w:hAnsi="Courier New"/>
          <w:sz w:val="20"/>
          <w:szCs w:val="24"/>
        </w:rPr>
        <w:t>)</w:t>
      </w:r>
      <w:r w:rsidRPr="00F655FD">
        <w:rPr>
          <w:rFonts w:ascii="STIX" w:eastAsia="Times New Roman" w:hAnsi="STIX"/>
          <w:sz w:val="20"/>
          <w:szCs w:val="24"/>
        </w:rPr>
        <w:t xml:space="preserve"> from Fig. 21.5 can be used to estimate the velocities and accelerations. For example, at the second point at </w:t>
      </w:r>
      <w:r w:rsidRPr="00F655FD">
        <w:rPr>
          <w:rFonts w:ascii="STIX" w:eastAsia="Times New Roman" w:hAnsi="STIX"/>
          <w:i/>
          <w:sz w:val="20"/>
          <w:szCs w:val="24"/>
        </w:rPr>
        <w:t>t</w:t>
      </w:r>
      <w:r w:rsidRPr="00F655FD">
        <w:rPr>
          <w:rFonts w:ascii="STIX" w:eastAsia="Times New Roman" w:hAnsi="STIX"/>
          <w:sz w:val="20"/>
          <w:szCs w:val="24"/>
        </w:rPr>
        <w:t xml:space="preserve"> </w:t>
      </w:r>
      <w:r w:rsidRPr="00F655FD">
        <w:rPr>
          <w:rFonts w:ascii="Courier New" w:eastAsia="Times New Roman" w:hAnsi="Courier New"/>
          <w:sz w:val="20"/>
          <w:szCs w:val="24"/>
        </w:rPr>
        <w:t>=</w:t>
      </w:r>
      <w:r w:rsidRPr="00F655FD">
        <w:rPr>
          <w:rFonts w:ascii="STIX" w:eastAsia="Times New Roman" w:hAnsi="STIX"/>
          <w:sz w:val="20"/>
          <w:szCs w:val="24"/>
        </w:rPr>
        <w:t xml:space="preserve"> 25,</w: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position w:val="-28"/>
          <w:sz w:val="20"/>
          <w:szCs w:val="24"/>
        </w:rPr>
        <w:object w:dxaOrig="2560" w:dyaOrig="680">
          <v:shape id="_x0000_i4056" type="#_x0000_t75" style="width:128.25pt;height:33.75pt" o:ole="">
            <v:imagedata r:id="rId12" o:title=""/>
          </v:shape>
          <o:OLEObject Type="Embed" ProgID="Equation.DSMT4" ShapeID="_x0000_i4056" DrawAspect="Content" ObjectID="_1552486622" r:id="rId13"/>
        </w:objec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position w:val="-28"/>
          <w:sz w:val="20"/>
          <w:szCs w:val="24"/>
        </w:rPr>
        <w:object w:dxaOrig="3739" w:dyaOrig="680">
          <v:shape id="_x0000_i4057" type="#_x0000_t75" style="width:186.75pt;height:33.75pt" o:ole="">
            <v:imagedata r:id="rId14" o:title=""/>
          </v:shape>
          <o:OLEObject Type="Embed" ProgID="Equation.DSMT4" ShapeID="_x0000_i4057" DrawAspect="Content" ObjectID="_1552486623" r:id="rId15"/>
        </w:object>
      </w:r>
    </w:p>
    <w:p w:rsidR="00F655FD" w:rsidRPr="00F655FD" w:rsidRDefault="00F655FD" w:rsidP="00F655FD">
      <w:pPr>
        <w:spacing w:after="0" w:line="240" w:lineRule="auto"/>
        <w:rPr>
          <w:rFonts w:ascii="STIX" w:eastAsia="Times New Roman" w:hAnsi="STIX"/>
          <w:sz w:val="20"/>
          <w:szCs w:val="24"/>
        </w:rPr>
      </w:pPr>
    </w:p>
    <w:p w:rsidR="00F655FD" w:rsidRPr="00F655FD" w:rsidRDefault="00F655FD" w:rsidP="00F655FD">
      <w:pPr>
        <w:spacing w:after="0" w:line="240" w:lineRule="auto"/>
        <w:rPr>
          <w:rFonts w:ascii="STIX" w:eastAsia="Times New Roman" w:hAnsi="STIX"/>
          <w:sz w:val="20"/>
          <w:szCs w:val="24"/>
        </w:rPr>
      </w:pPr>
      <w:r w:rsidRPr="00F655FD">
        <w:rPr>
          <w:rFonts w:ascii="STIX" w:eastAsia="Times New Roman" w:hAnsi="STIX"/>
          <w:sz w:val="20"/>
          <w:szCs w:val="24"/>
        </w:rPr>
        <w:t xml:space="preserve">For the final point, backward difference formulas of </w:t>
      </w:r>
      <w:r w:rsidRPr="00F655FD">
        <w:rPr>
          <w:rFonts w:ascii="STIX" w:eastAsia="Times New Roman" w:hAnsi="STIX"/>
          <w:i/>
          <w:sz w:val="20"/>
          <w:szCs w:val="24"/>
        </w:rPr>
        <w:t>O</w:t>
      </w:r>
      <w:r w:rsidRPr="00F655FD">
        <w:rPr>
          <w:rFonts w:ascii="Courier New" w:eastAsia="Times New Roman" w:hAnsi="Courier New"/>
          <w:sz w:val="20"/>
          <w:szCs w:val="24"/>
        </w:rPr>
        <w:t>(</w:t>
      </w:r>
      <w:r w:rsidRPr="00F655FD">
        <w:rPr>
          <w:rFonts w:ascii="STIX" w:eastAsia="Times New Roman" w:hAnsi="STIX"/>
          <w:i/>
          <w:sz w:val="20"/>
          <w:szCs w:val="24"/>
        </w:rPr>
        <w:t>h</w:t>
      </w:r>
      <w:r w:rsidRPr="00F655FD">
        <w:rPr>
          <w:rFonts w:ascii="STIX" w:eastAsia="Times New Roman" w:hAnsi="STIX"/>
          <w:sz w:val="20"/>
          <w:szCs w:val="24"/>
          <w:vertAlign w:val="superscript"/>
        </w:rPr>
        <w:t>2</w:t>
      </w:r>
      <w:r w:rsidRPr="00F655FD">
        <w:rPr>
          <w:rFonts w:ascii="Courier New" w:eastAsia="Times New Roman" w:hAnsi="Courier New"/>
          <w:sz w:val="20"/>
          <w:szCs w:val="24"/>
        </w:rPr>
        <w:t>)</w:t>
      </w:r>
      <w:r w:rsidRPr="00F655FD">
        <w:rPr>
          <w:rFonts w:ascii="STIX" w:eastAsia="Times New Roman" w:hAnsi="STIX"/>
          <w:sz w:val="20"/>
          <w:szCs w:val="24"/>
        </w:rPr>
        <w:t xml:space="preserve"> from Fig. 21.4 can be used to estimate the velocities and accelerations. The results for all values are summarized in the following table.</w:t>
      </w:r>
    </w:p>
    <w:p w:rsidR="00F655FD" w:rsidRPr="00F655FD" w:rsidRDefault="00F655FD" w:rsidP="00F655FD">
      <w:pPr>
        <w:spacing w:after="0" w:line="240" w:lineRule="auto"/>
        <w:rPr>
          <w:rFonts w:ascii="STIX" w:eastAsia="Times New Roman" w:hAnsi="STIX"/>
          <w:sz w:val="20"/>
          <w:szCs w:val="24"/>
        </w:rPr>
      </w:pPr>
    </w:p>
    <w:tbl>
      <w:tblPr>
        <w:tblW w:w="3863" w:type="dxa"/>
        <w:tblInd w:w="468" w:type="dxa"/>
        <w:tblLook w:val="0000"/>
      </w:tblPr>
      <w:tblGrid>
        <w:gridCol w:w="616"/>
        <w:gridCol w:w="976"/>
        <w:gridCol w:w="976"/>
        <w:gridCol w:w="1295"/>
      </w:tblGrid>
      <w:tr w:rsidR="00F655FD" w:rsidRPr="00F655FD" w:rsidTr="00FF7247">
        <w:trPr>
          <w:trHeight w:val="255"/>
        </w:trPr>
        <w:tc>
          <w:tcPr>
            <w:tcW w:w="616" w:type="dxa"/>
            <w:tcBorders>
              <w:top w:val="single" w:sz="12" w:space="0" w:color="auto"/>
              <w:left w:val="nil"/>
              <w:bottom w:val="single" w:sz="4"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b/>
                <w:i/>
                <w:sz w:val="18"/>
                <w:szCs w:val="20"/>
              </w:rPr>
            </w:pPr>
            <w:r w:rsidRPr="00F655FD">
              <w:rPr>
                <w:rFonts w:ascii="STIX" w:eastAsia="Times New Roman" w:hAnsi="STIX" w:cs="STIX MathJax Main"/>
                <w:b/>
                <w:i/>
                <w:sz w:val="18"/>
                <w:szCs w:val="20"/>
              </w:rPr>
              <w:t>t</w:t>
            </w:r>
          </w:p>
        </w:tc>
        <w:tc>
          <w:tcPr>
            <w:tcW w:w="976" w:type="dxa"/>
            <w:tcBorders>
              <w:top w:val="single" w:sz="12" w:space="0" w:color="auto"/>
              <w:left w:val="nil"/>
              <w:bottom w:val="single" w:sz="4"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b/>
                <w:i/>
                <w:sz w:val="18"/>
                <w:szCs w:val="20"/>
              </w:rPr>
            </w:pPr>
            <w:r w:rsidRPr="00F655FD">
              <w:rPr>
                <w:rFonts w:ascii="STIX" w:eastAsia="Times New Roman" w:hAnsi="STIX" w:cs="STIX MathJax Main"/>
                <w:b/>
                <w:i/>
                <w:sz w:val="18"/>
                <w:szCs w:val="20"/>
              </w:rPr>
              <w:t>y</w:t>
            </w:r>
          </w:p>
        </w:tc>
        <w:tc>
          <w:tcPr>
            <w:tcW w:w="976" w:type="dxa"/>
            <w:tcBorders>
              <w:top w:val="single" w:sz="12" w:space="0" w:color="auto"/>
              <w:left w:val="nil"/>
              <w:bottom w:val="single" w:sz="4"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b/>
                <w:i/>
                <w:sz w:val="18"/>
                <w:szCs w:val="20"/>
              </w:rPr>
            </w:pPr>
            <w:r w:rsidRPr="00F655FD">
              <w:rPr>
                <w:rFonts w:ascii="STIX" w:eastAsia="Times New Roman" w:hAnsi="STIX" w:cs="STIX MathJax Main"/>
                <w:b/>
                <w:i/>
                <w:sz w:val="18"/>
                <w:szCs w:val="20"/>
              </w:rPr>
              <w:t>v</w:t>
            </w:r>
          </w:p>
        </w:tc>
        <w:tc>
          <w:tcPr>
            <w:tcW w:w="1295" w:type="dxa"/>
            <w:tcBorders>
              <w:top w:val="single" w:sz="12" w:space="0" w:color="auto"/>
              <w:left w:val="nil"/>
              <w:bottom w:val="single" w:sz="4"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b/>
                <w:i/>
                <w:sz w:val="18"/>
                <w:szCs w:val="20"/>
              </w:rPr>
            </w:pPr>
            <w:r w:rsidRPr="00F655FD">
              <w:rPr>
                <w:rFonts w:ascii="STIX" w:eastAsia="Times New Roman" w:hAnsi="STIX" w:cs="STIX MathJax Main"/>
                <w:b/>
                <w:i/>
                <w:sz w:val="18"/>
                <w:szCs w:val="20"/>
              </w:rPr>
              <w:t>a</w:t>
            </w:r>
          </w:p>
        </w:tc>
      </w:tr>
      <w:tr w:rsidR="00F655FD" w:rsidRPr="00F655FD" w:rsidTr="00FF7247">
        <w:trPr>
          <w:trHeight w:val="255"/>
        </w:trPr>
        <w:tc>
          <w:tcPr>
            <w:tcW w:w="616" w:type="dxa"/>
            <w:tcBorders>
              <w:top w:val="single" w:sz="4" w:space="0" w:color="auto"/>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0</w:t>
            </w:r>
          </w:p>
        </w:tc>
        <w:tc>
          <w:tcPr>
            <w:tcW w:w="976" w:type="dxa"/>
            <w:tcBorders>
              <w:top w:val="single" w:sz="4" w:space="0" w:color="auto"/>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0</w:t>
            </w:r>
          </w:p>
        </w:tc>
        <w:tc>
          <w:tcPr>
            <w:tcW w:w="976" w:type="dxa"/>
            <w:tcBorders>
              <w:top w:val="single" w:sz="4" w:space="0" w:color="auto"/>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1.40</w:t>
            </w:r>
          </w:p>
        </w:tc>
        <w:tc>
          <w:tcPr>
            <w:tcW w:w="1295" w:type="dxa"/>
            <w:tcBorders>
              <w:top w:val="single" w:sz="4" w:space="0" w:color="auto"/>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Courier New" w:eastAsia="Times New Roman" w:hAnsi="Courier New" w:cs="STIX MathJax Main"/>
                <w:sz w:val="18"/>
                <w:szCs w:val="20"/>
              </w:rPr>
              <w:t>–</w:t>
            </w:r>
            <w:r w:rsidRPr="00F655FD">
              <w:rPr>
                <w:rFonts w:ascii="STIX" w:eastAsia="Times New Roman" w:hAnsi="STIX" w:cs="STIX MathJax Main"/>
                <w:sz w:val="18"/>
                <w:szCs w:val="20"/>
              </w:rPr>
              <w:t>0.0096</w:t>
            </w:r>
          </w:p>
        </w:tc>
      </w:tr>
      <w:tr w:rsidR="00F655FD" w:rsidRPr="00F655FD" w:rsidTr="00FF7247">
        <w:trPr>
          <w:trHeight w:val="255"/>
        </w:trPr>
        <w:tc>
          <w:tcPr>
            <w:tcW w:w="61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25</w:t>
            </w:r>
          </w:p>
        </w:tc>
        <w:tc>
          <w:tcPr>
            <w:tcW w:w="97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32</w:t>
            </w:r>
          </w:p>
        </w:tc>
        <w:tc>
          <w:tcPr>
            <w:tcW w:w="97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1.16</w:t>
            </w:r>
          </w:p>
        </w:tc>
        <w:tc>
          <w:tcPr>
            <w:tcW w:w="1295"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Courier New" w:eastAsia="Times New Roman" w:hAnsi="Courier New" w:cs="STIX MathJax Main"/>
                <w:sz w:val="18"/>
                <w:szCs w:val="20"/>
              </w:rPr>
              <w:t>–</w:t>
            </w:r>
            <w:r w:rsidRPr="00F655FD">
              <w:rPr>
                <w:rFonts w:ascii="STIX" w:eastAsia="Times New Roman" w:hAnsi="STIX" w:cs="STIX MathJax Main"/>
                <w:sz w:val="18"/>
                <w:szCs w:val="20"/>
              </w:rPr>
              <w:t>0.0096</w:t>
            </w:r>
          </w:p>
        </w:tc>
      </w:tr>
      <w:tr w:rsidR="00F655FD" w:rsidRPr="00F655FD" w:rsidTr="00FF7247">
        <w:trPr>
          <w:trHeight w:val="255"/>
        </w:trPr>
        <w:tc>
          <w:tcPr>
            <w:tcW w:w="61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50</w:t>
            </w:r>
          </w:p>
        </w:tc>
        <w:tc>
          <w:tcPr>
            <w:tcW w:w="97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58</w:t>
            </w:r>
          </w:p>
        </w:tc>
        <w:tc>
          <w:tcPr>
            <w:tcW w:w="97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0.92</w:t>
            </w:r>
          </w:p>
        </w:tc>
        <w:tc>
          <w:tcPr>
            <w:tcW w:w="1295"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Courier New" w:eastAsia="Times New Roman" w:hAnsi="Courier New" w:cs="STIX MathJax Main"/>
                <w:sz w:val="18"/>
                <w:szCs w:val="20"/>
              </w:rPr>
              <w:t>–</w:t>
            </w:r>
            <w:r w:rsidRPr="00F655FD">
              <w:rPr>
                <w:rFonts w:ascii="STIX" w:eastAsia="Times New Roman" w:hAnsi="STIX" w:cs="STIX MathJax Main"/>
                <w:sz w:val="18"/>
                <w:szCs w:val="20"/>
              </w:rPr>
              <w:t>0.0096</w:t>
            </w:r>
          </w:p>
        </w:tc>
      </w:tr>
      <w:tr w:rsidR="00F655FD" w:rsidRPr="00F655FD" w:rsidTr="00FF7247">
        <w:trPr>
          <w:trHeight w:val="255"/>
        </w:trPr>
        <w:tc>
          <w:tcPr>
            <w:tcW w:w="61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75</w:t>
            </w:r>
          </w:p>
        </w:tc>
        <w:tc>
          <w:tcPr>
            <w:tcW w:w="97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78</w:t>
            </w:r>
          </w:p>
        </w:tc>
        <w:tc>
          <w:tcPr>
            <w:tcW w:w="976"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0.68</w:t>
            </w:r>
          </w:p>
        </w:tc>
        <w:tc>
          <w:tcPr>
            <w:tcW w:w="1295" w:type="dxa"/>
            <w:tcBorders>
              <w:top w:val="nil"/>
              <w:left w:val="nil"/>
              <w:bottom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Courier New" w:eastAsia="Times New Roman" w:hAnsi="Courier New" w:cs="STIX MathJax Main"/>
                <w:sz w:val="18"/>
                <w:szCs w:val="20"/>
              </w:rPr>
              <w:t>–</w:t>
            </w:r>
            <w:r w:rsidRPr="00F655FD">
              <w:rPr>
                <w:rFonts w:ascii="STIX" w:eastAsia="Times New Roman" w:hAnsi="STIX" w:cs="STIX MathJax Main"/>
                <w:sz w:val="18"/>
                <w:szCs w:val="20"/>
              </w:rPr>
              <w:t>0.0096</w:t>
            </w:r>
          </w:p>
        </w:tc>
      </w:tr>
      <w:tr w:rsidR="00F655FD" w:rsidRPr="00F655FD" w:rsidTr="00FF7247">
        <w:trPr>
          <w:trHeight w:val="255"/>
        </w:trPr>
        <w:tc>
          <w:tcPr>
            <w:tcW w:w="616" w:type="dxa"/>
            <w:tcBorders>
              <w:top w:val="nil"/>
              <w:left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100</w:t>
            </w:r>
          </w:p>
        </w:tc>
        <w:tc>
          <w:tcPr>
            <w:tcW w:w="976" w:type="dxa"/>
            <w:tcBorders>
              <w:top w:val="nil"/>
              <w:left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92</w:t>
            </w:r>
          </w:p>
        </w:tc>
        <w:tc>
          <w:tcPr>
            <w:tcW w:w="976" w:type="dxa"/>
            <w:tcBorders>
              <w:top w:val="nil"/>
              <w:left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0.44</w:t>
            </w:r>
          </w:p>
        </w:tc>
        <w:tc>
          <w:tcPr>
            <w:tcW w:w="1295" w:type="dxa"/>
            <w:tcBorders>
              <w:top w:val="nil"/>
              <w:left w:val="nil"/>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Courier New" w:eastAsia="Times New Roman" w:hAnsi="Courier New" w:cs="STIX MathJax Main"/>
                <w:sz w:val="18"/>
                <w:szCs w:val="20"/>
              </w:rPr>
              <w:t>–</w:t>
            </w:r>
            <w:r w:rsidRPr="00F655FD">
              <w:rPr>
                <w:rFonts w:ascii="STIX" w:eastAsia="Times New Roman" w:hAnsi="STIX" w:cs="STIX MathJax Main"/>
                <w:sz w:val="18"/>
                <w:szCs w:val="20"/>
              </w:rPr>
              <w:t>0.0096</w:t>
            </w:r>
          </w:p>
        </w:tc>
      </w:tr>
      <w:tr w:rsidR="00F655FD" w:rsidRPr="00F655FD" w:rsidTr="00FF7247">
        <w:trPr>
          <w:trHeight w:val="255"/>
        </w:trPr>
        <w:tc>
          <w:tcPr>
            <w:tcW w:w="616" w:type="dxa"/>
            <w:tcBorders>
              <w:top w:val="nil"/>
              <w:left w:val="nil"/>
              <w:bottom w:val="single" w:sz="12"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125</w:t>
            </w:r>
          </w:p>
        </w:tc>
        <w:tc>
          <w:tcPr>
            <w:tcW w:w="976" w:type="dxa"/>
            <w:tcBorders>
              <w:top w:val="nil"/>
              <w:left w:val="nil"/>
              <w:bottom w:val="single" w:sz="12"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100</w:t>
            </w:r>
          </w:p>
        </w:tc>
        <w:tc>
          <w:tcPr>
            <w:tcW w:w="976" w:type="dxa"/>
            <w:tcBorders>
              <w:top w:val="nil"/>
              <w:left w:val="nil"/>
              <w:bottom w:val="single" w:sz="12"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STIX" w:eastAsia="Times New Roman" w:hAnsi="STIX" w:cs="STIX MathJax Main"/>
                <w:sz w:val="18"/>
                <w:szCs w:val="20"/>
              </w:rPr>
              <w:t>0.20</w:t>
            </w:r>
          </w:p>
        </w:tc>
        <w:tc>
          <w:tcPr>
            <w:tcW w:w="1295" w:type="dxa"/>
            <w:tcBorders>
              <w:top w:val="nil"/>
              <w:left w:val="nil"/>
              <w:bottom w:val="single" w:sz="12" w:space="0" w:color="auto"/>
              <w:right w:val="nil"/>
            </w:tcBorders>
            <w:noWrap/>
            <w:vAlign w:val="bottom"/>
          </w:tcPr>
          <w:p w:rsidR="00F655FD" w:rsidRPr="00F655FD" w:rsidRDefault="00F655FD" w:rsidP="00F655FD">
            <w:pPr>
              <w:spacing w:after="0" w:line="240" w:lineRule="auto"/>
              <w:rPr>
                <w:rFonts w:ascii="STIX MathJax Main" w:eastAsia="Times New Roman" w:hAnsi="STIX MathJax Main" w:cs="STIX MathJax Main"/>
                <w:sz w:val="18"/>
                <w:szCs w:val="20"/>
              </w:rPr>
            </w:pPr>
            <w:r w:rsidRPr="00F655FD">
              <w:rPr>
                <w:rFonts w:ascii="Courier New" w:eastAsia="Times New Roman" w:hAnsi="Courier New" w:cs="STIX MathJax Main"/>
                <w:sz w:val="18"/>
                <w:szCs w:val="20"/>
              </w:rPr>
              <w:t>–</w:t>
            </w:r>
            <w:r w:rsidRPr="00F655FD">
              <w:rPr>
                <w:rFonts w:ascii="STIX" w:eastAsia="Times New Roman" w:hAnsi="STIX" w:cs="STIX MathJax Main"/>
                <w:sz w:val="18"/>
                <w:szCs w:val="20"/>
              </w:rPr>
              <w:t>0.0096</w:t>
            </w:r>
          </w:p>
        </w:tc>
      </w:tr>
    </w:tbl>
    <w:p w:rsidR="00F655FD" w:rsidRPr="00F655FD" w:rsidRDefault="00F655FD" w:rsidP="00F655FD">
      <w:pPr>
        <w:spacing w:after="0" w:line="240" w:lineRule="auto"/>
        <w:rPr>
          <w:rFonts w:ascii="STIX" w:eastAsia="Times New Roman" w:hAnsi="STIX"/>
          <w:sz w:val="20"/>
          <w:szCs w:val="24"/>
        </w:rPr>
      </w:pPr>
    </w:p>
    <w:p w:rsidR="00696EAA" w:rsidRDefault="00696EAA" w:rsidP="00F655FD">
      <w:pPr>
        <w:spacing w:after="0" w:line="240" w:lineRule="auto"/>
        <w:rPr>
          <w:rFonts w:ascii="STIX" w:eastAsia="Times New Roman" w:hAnsi="STIX"/>
          <w:sz w:val="20"/>
          <w:szCs w:val="24"/>
        </w:rPr>
      </w:pPr>
    </w:p>
    <w:sectPr w:rsidR="00696EAA"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6C917-0718-4C5B-A851-C9136EB85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2017-03-31T19:11:00Z</dcterms:created>
  <dcterms:modified xsi:type="dcterms:W3CDTF">2017-03-31T19:11:00Z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