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14558A">
        <w:rPr>
          <w:b/>
          <w:noProof/>
          <w:sz w:val="20"/>
          <w:szCs w:val="20"/>
        </w:rPr>
        <w:t>23</w:t>
      </w:r>
    </w:p>
    <w:p w:rsidR="005375C4" w:rsidRDefault="005375C4" w:rsidP="005375C4">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sz w:val="20"/>
          <w:szCs w:val="24"/>
        </w:rPr>
        <w:t>For the equally</w:t>
      </w:r>
      <w:r w:rsidRPr="0014558A">
        <w:rPr>
          <w:rFonts w:ascii="STIX" w:eastAsia="Times New Roman" w:hAnsi="STIX" w:cs="STIX MathJax Main"/>
          <w:sz w:val="20"/>
          <w:szCs w:val="24"/>
        </w:rPr>
        <w:t>-</w:t>
      </w:r>
      <w:r w:rsidRPr="0014558A">
        <w:rPr>
          <w:rFonts w:ascii="STIX" w:eastAsia="Times New Roman" w:hAnsi="STIX"/>
          <w:sz w:val="20"/>
          <w:szCs w:val="24"/>
        </w:rPr>
        <w:t>spaced points, we can use the second</w:t>
      </w:r>
      <w:r w:rsidRPr="0014558A">
        <w:rPr>
          <w:rFonts w:ascii="STIX" w:eastAsia="Times New Roman" w:hAnsi="STIX" w:cs="STIX MathJax Main"/>
          <w:sz w:val="20"/>
          <w:szCs w:val="24"/>
        </w:rPr>
        <w:t>-</w:t>
      </w:r>
      <w:r w:rsidRPr="0014558A">
        <w:rPr>
          <w:rFonts w:ascii="STIX" w:eastAsia="Times New Roman" w:hAnsi="STIX"/>
          <w:sz w:val="20"/>
          <w:szCs w:val="24"/>
        </w:rPr>
        <w:t xml:space="preserve">order formulas from Figs. 21.3 through 21.5. For example, for the first point </w:t>
      </w:r>
      <w:r w:rsidRPr="0014558A">
        <w:rPr>
          <w:rFonts w:ascii="Courier New" w:eastAsia="Times New Roman" w:hAnsi="Courier New"/>
          <w:sz w:val="20"/>
          <w:szCs w:val="24"/>
        </w:rPr>
        <w:t>(</w:t>
      </w:r>
      <w:r w:rsidRPr="0014558A">
        <w:rPr>
          <w:rFonts w:ascii="STIX" w:eastAsia="Times New Roman" w:hAnsi="STIX"/>
          <w:i/>
          <w:sz w:val="20"/>
          <w:szCs w:val="24"/>
        </w:rPr>
        <w:t>t</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0</w:t>
      </w:r>
      <w:r w:rsidRPr="0014558A">
        <w:rPr>
          <w:rFonts w:ascii="Courier New" w:eastAsia="Times New Roman" w:hAnsi="Courier New"/>
          <w:sz w:val="20"/>
          <w:szCs w:val="24"/>
        </w:rPr>
        <w:t>)</w:t>
      </w:r>
      <w:r w:rsidRPr="0014558A">
        <w:rPr>
          <w:rFonts w:ascii="STIX" w:eastAsia="Times New Roman" w:hAnsi="STIX"/>
          <w:sz w:val="20"/>
          <w:szCs w:val="24"/>
        </w:rPr>
        <w:t>, we can use</w: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position w:val="-28"/>
          <w:sz w:val="20"/>
          <w:szCs w:val="24"/>
        </w:rPr>
        <w:object w:dxaOrig="45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331" type="#_x0000_t75" style="width:230.25pt;height:33.75pt" o:ole="">
            <v:imagedata r:id="rId8" o:title=""/>
          </v:shape>
          <o:OLEObject Type="Embed" ProgID="Equation.DSMT4" ShapeID="_x0000_i4331" DrawAspect="Content" ObjectID="_1552487059" r:id="rId9"/>
        </w:objec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sz w:val="20"/>
          <w:szCs w:val="24"/>
        </w:rPr>
        <w:t xml:space="preserve">However, the points around </w:t>
      </w:r>
      <w:r w:rsidRPr="0014558A">
        <w:rPr>
          <w:rFonts w:ascii="STIX" w:eastAsia="Times New Roman" w:hAnsi="STIX"/>
          <w:i/>
          <w:sz w:val="20"/>
          <w:szCs w:val="24"/>
        </w:rPr>
        <w:t>t</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30 are unequally spaced so we must use Eq. </w:t>
      </w:r>
      <w:r w:rsidRPr="0014558A">
        <w:rPr>
          <w:rFonts w:ascii="Courier New" w:eastAsia="Times New Roman" w:hAnsi="Courier New"/>
          <w:sz w:val="20"/>
          <w:szCs w:val="24"/>
        </w:rPr>
        <w:t>(</w:t>
      </w:r>
      <w:r w:rsidRPr="0014558A">
        <w:rPr>
          <w:rFonts w:ascii="STIX" w:eastAsia="Times New Roman" w:hAnsi="STIX"/>
          <w:sz w:val="20"/>
          <w:szCs w:val="24"/>
        </w:rPr>
        <w:t>21.21</w:t>
      </w:r>
      <w:r w:rsidRPr="0014558A">
        <w:rPr>
          <w:rFonts w:ascii="Courier New" w:eastAsia="Times New Roman" w:hAnsi="Courier New"/>
          <w:sz w:val="20"/>
          <w:szCs w:val="24"/>
        </w:rPr>
        <w:t>)</w:t>
      </w:r>
      <w:r w:rsidRPr="0014558A">
        <w:rPr>
          <w:rFonts w:ascii="STIX" w:eastAsia="Times New Roman" w:hAnsi="STIX"/>
          <w:sz w:val="20"/>
          <w:szCs w:val="24"/>
        </w:rPr>
        <w:t xml:space="preserve"> to compute the derivative as</w: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i/>
          <w:sz w:val="20"/>
          <w:szCs w:val="24"/>
        </w:rPr>
        <w:t>x</w:t>
      </w:r>
      <w:r w:rsidRPr="0014558A">
        <w:rPr>
          <w:rFonts w:ascii="STIX" w:eastAsia="Times New Roman" w:hAnsi="STIX"/>
          <w:sz w:val="20"/>
          <w:szCs w:val="24"/>
          <w:vertAlign w:val="subscript"/>
        </w:rPr>
        <w:t>0</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20</w:t>
      </w:r>
      <w:r w:rsidRPr="0014558A">
        <w:rPr>
          <w:rFonts w:ascii="STIX" w:eastAsia="Times New Roman" w:hAnsi="STIX"/>
          <w:sz w:val="20"/>
          <w:szCs w:val="24"/>
        </w:rPr>
        <w:tab/>
      </w:r>
      <w:r w:rsidRPr="0014558A">
        <w:rPr>
          <w:rFonts w:ascii="STIX" w:eastAsia="Times New Roman" w:hAnsi="STIX"/>
          <w:sz w:val="20"/>
          <w:szCs w:val="24"/>
        </w:rPr>
        <w:tab/>
      </w:r>
      <w:r w:rsidRPr="0014558A">
        <w:rPr>
          <w:rFonts w:ascii="STIX" w:eastAsia="Times New Roman" w:hAnsi="STIX"/>
          <w:i/>
          <w:sz w:val="20"/>
          <w:szCs w:val="24"/>
        </w:rPr>
        <w:t>f</w:t>
      </w:r>
      <w:r w:rsidRPr="0014558A">
        <w:rPr>
          <w:rFonts w:ascii="Courier New" w:eastAsia="Times New Roman" w:hAnsi="Courier New"/>
          <w:sz w:val="20"/>
          <w:szCs w:val="24"/>
        </w:rPr>
        <w:t>(</w:t>
      </w:r>
      <w:r w:rsidRPr="0014558A">
        <w:rPr>
          <w:rFonts w:ascii="STIX" w:eastAsia="Times New Roman" w:hAnsi="STIX"/>
          <w:i/>
          <w:sz w:val="20"/>
          <w:szCs w:val="24"/>
        </w:rPr>
        <w:t>x</w:t>
      </w:r>
      <w:r w:rsidRPr="0014558A">
        <w:rPr>
          <w:rFonts w:ascii="STIX" w:eastAsia="Times New Roman" w:hAnsi="STIX"/>
          <w:sz w:val="20"/>
          <w:szCs w:val="24"/>
          <w:vertAlign w:val="subscript"/>
        </w:rPr>
        <w:t>0</w:t>
      </w:r>
      <w:r w:rsidRPr="0014558A">
        <w:rPr>
          <w:rFonts w:ascii="Courier New" w:eastAsia="Times New Roman" w:hAnsi="Courier New"/>
          <w:sz w:val="20"/>
          <w:szCs w:val="24"/>
        </w:rPr>
        <w:t>)</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0.77</w:t>
      </w: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i/>
          <w:sz w:val="20"/>
          <w:szCs w:val="24"/>
        </w:rPr>
        <w:t>x</w:t>
      </w:r>
      <w:r w:rsidRPr="0014558A">
        <w:rPr>
          <w:rFonts w:ascii="STIX" w:eastAsia="Times New Roman" w:hAnsi="STIX"/>
          <w:sz w:val="20"/>
          <w:szCs w:val="24"/>
          <w:vertAlign w:val="subscript"/>
        </w:rPr>
        <w:t>1</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30</w:t>
      </w:r>
      <w:r w:rsidRPr="0014558A">
        <w:rPr>
          <w:rFonts w:ascii="STIX" w:eastAsia="Times New Roman" w:hAnsi="STIX"/>
          <w:sz w:val="20"/>
          <w:szCs w:val="24"/>
        </w:rPr>
        <w:tab/>
      </w:r>
      <w:r w:rsidRPr="0014558A">
        <w:rPr>
          <w:rFonts w:ascii="STIX" w:eastAsia="Times New Roman" w:hAnsi="STIX"/>
          <w:sz w:val="20"/>
          <w:szCs w:val="24"/>
        </w:rPr>
        <w:tab/>
      </w:r>
      <w:r w:rsidRPr="0014558A">
        <w:rPr>
          <w:rFonts w:ascii="STIX" w:eastAsia="Times New Roman" w:hAnsi="STIX"/>
          <w:i/>
          <w:sz w:val="20"/>
          <w:szCs w:val="24"/>
        </w:rPr>
        <w:t>f</w:t>
      </w:r>
      <w:r w:rsidRPr="0014558A">
        <w:rPr>
          <w:rFonts w:ascii="Courier New" w:eastAsia="Times New Roman" w:hAnsi="Courier New"/>
          <w:sz w:val="20"/>
          <w:szCs w:val="24"/>
        </w:rPr>
        <w:t>(</w:t>
      </w:r>
      <w:r w:rsidRPr="0014558A">
        <w:rPr>
          <w:rFonts w:ascii="STIX" w:eastAsia="Times New Roman" w:hAnsi="STIX"/>
          <w:i/>
          <w:sz w:val="20"/>
          <w:szCs w:val="24"/>
        </w:rPr>
        <w:t>x</w:t>
      </w:r>
      <w:r w:rsidRPr="0014558A">
        <w:rPr>
          <w:rFonts w:ascii="STIX" w:eastAsia="Times New Roman" w:hAnsi="STIX"/>
          <w:sz w:val="20"/>
          <w:szCs w:val="24"/>
          <w:vertAlign w:val="subscript"/>
        </w:rPr>
        <w:t>1</w:t>
      </w:r>
      <w:r w:rsidRPr="0014558A">
        <w:rPr>
          <w:rFonts w:ascii="Courier New" w:eastAsia="Times New Roman" w:hAnsi="Courier New"/>
          <w:sz w:val="20"/>
          <w:szCs w:val="24"/>
        </w:rPr>
        <w:t>)</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0.88</w:t>
      </w: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i/>
          <w:sz w:val="20"/>
          <w:szCs w:val="24"/>
        </w:rPr>
        <w:t>x</w:t>
      </w:r>
      <w:r w:rsidRPr="0014558A">
        <w:rPr>
          <w:rFonts w:ascii="STIX" w:eastAsia="Times New Roman" w:hAnsi="STIX"/>
          <w:sz w:val="20"/>
          <w:szCs w:val="24"/>
          <w:vertAlign w:val="subscript"/>
        </w:rPr>
        <w:t>2</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45</w:t>
      </w:r>
      <w:r w:rsidRPr="0014558A">
        <w:rPr>
          <w:rFonts w:ascii="STIX" w:eastAsia="Times New Roman" w:hAnsi="STIX"/>
          <w:sz w:val="20"/>
          <w:szCs w:val="24"/>
        </w:rPr>
        <w:tab/>
      </w:r>
      <w:r w:rsidRPr="0014558A">
        <w:rPr>
          <w:rFonts w:ascii="STIX" w:eastAsia="Times New Roman" w:hAnsi="STIX"/>
          <w:sz w:val="20"/>
          <w:szCs w:val="24"/>
        </w:rPr>
        <w:tab/>
      </w:r>
      <w:r w:rsidRPr="0014558A">
        <w:rPr>
          <w:rFonts w:ascii="STIX" w:eastAsia="Times New Roman" w:hAnsi="STIX"/>
          <w:i/>
          <w:sz w:val="20"/>
          <w:szCs w:val="24"/>
        </w:rPr>
        <w:t>f</w:t>
      </w:r>
      <w:r w:rsidRPr="0014558A">
        <w:rPr>
          <w:rFonts w:ascii="Courier New" w:eastAsia="Times New Roman" w:hAnsi="Courier New"/>
          <w:sz w:val="20"/>
          <w:szCs w:val="24"/>
        </w:rPr>
        <w:t>(</w:t>
      </w:r>
      <w:r w:rsidRPr="0014558A">
        <w:rPr>
          <w:rFonts w:ascii="STIX" w:eastAsia="Times New Roman" w:hAnsi="STIX"/>
          <w:i/>
          <w:sz w:val="20"/>
          <w:szCs w:val="24"/>
        </w:rPr>
        <w:t>x</w:t>
      </w:r>
      <w:r w:rsidRPr="0014558A">
        <w:rPr>
          <w:rFonts w:ascii="STIX" w:eastAsia="Times New Roman" w:hAnsi="STIX"/>
          <w:sz w:val="20"/>
          <w:szCs w:val="24"/>
          <w:vertAlign w:val="subscript"/>
        </w:rPr>
        <w:t>2</w:t>
      </w:r>
      <w:r w:rsidRPr="0014558A">
        <w:rPr>
          <w:rFonts w:ascii="Courier New" w:eastAsia="Times New Roman" w:hAnsi="Courier New"/>
          <w:sz w:val="20"/>
          <w:szCs w:val="24"/>
        </w:rPr>
        <w:t>)</w:t>
      </w:r>
      <w:r w:rsidRPr="0014558A">
        <w:rPr>
          <w:rFonts w:ascii="STIX" w:eastAsia="Times New Roman" w:hAnsi="STIX"/>
          <w:sz w:val="20"/>
          <w:szCs w:val="24"/>
        </w:rPr>
        <w:t xml:space="preserve"> </w:t>
      </w:r>
      <w:r w:rsidRPr="0014558A">
        <w:rPr>
          <w:rFonts w:ascii="Courier New" w:eastAsia="Times New Roman" w:hAnsi="Courier New"/>
          <w:sz w:val="20"/>
          <w:szCs w:val="24"/>
        </w:rPr>
        <w:t>=</w:t>
      </w:r>
      <w:r w:rsidRPr="0014558A">
        <w:rPr>
          <w:rFonts w:ascii="STIX" w:eastAsia="Times New Roman" w:hAnsi="STIX"/>
          <w:sz w:val="20"/>
          <w:szCs w:val="24"/>
        </w:rPr>
        <w:t xml:space="preserve"> 1.05</w: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position w:val="-28"/>
          <w:sz w:val="20"/>
          <w:szCs w:val="24"/>
        </w:rPr>
        <w:object w:dxaOrig="9000" w:dyaOrig="680">
          <v:shape id="_x0000_i4332" type="#_x0000_t75" style="width:450pt;height:33.75pt" o:ole="">
            <v:imagedata r:id="rId10" o:title=""/>
          </v:shape>
          <o:OLEObject Type="Embed" ProgID="Equation.DSMT4" ShapeID="_x0000_i4332" DrawAspect="Content" ObjectID="_1552487060" r:id="rId11"/>
        </w:objec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sz w:val="20"/>
          <w:szCs w:val="24"/>
        </w:rPr>
        <w:t>All the results can be summarized as</w: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p>
    <w:tbl>
      <w:tblPr>
        <w:tblW w:w="3793" w:type="dxa"/>
        <w:tblInd w:w="468" w:type="dxa"/>
        <w:tblLook w:val="0000"/>
      </w:tblPr>
      <w:tblGrid>
        <w:gridCol w:w="720"/>
        <w:gridCol w:w="872"/>
        <w:gridCol w:w="1106"/>
        <w:gridCol w:w="1095"/>
      </w:tblGrid>
      <w:tr w:rsidR="0014558A" w:rsidRPr="0014558A" w:rsidTr="00FF7247">
        <w:trPr>
          <w:trHeight w:val="255"/>
        </w:trPr>
        <w:tc>
          <w:tcPr>
            <w:tcW w:w="720" w:type="dxa"/>
            <w:tcBorders>
              <w:top w:val="single" w:sz="12" w:space="0" w:color="auto"/>
              <w:left w:val="nil"/>
              <w:bottom w:val="single" w:sz="4"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b/>
                <w:i/>
                <w:sz w:val="18"/>
                <w:szCs w:val="20"/>
              </w:rPr>
            </w:pPr>
            <w:r w:rsidRPr="0014558A">
              <w:rPr>
                <w:rFonts w:ascii="STIX" w:eastAsia="Times New Roman" w:hAnsi="STIX" w:cs="STIX MathJax Main"/>
                <w:b/>
                <w:i/>
                <w:sz w:val="18"/>
                <w:szCs w:val="20"/>
              </w:rPr>
              <w:t>t</w:t>
            </w:r>
          </w:p>
        </w:tc>
        <w:tc>
          <w:tcPr>
            <w:tcW w:w="872" w:type="dxa"/>
            <w:tcBorders>
              <w:top w:val="single" w:sz="12" w:space="0" w:color="auto"/>
              <w:left w:val="nil"/>
              <w:bottom w:val="single" w:sz="4"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b/>
                <w:i/>
                <w:sz w:val="18"/>
                <w:szCs w:val="20"/>
              </w:rPr>
            </w:pPr>
            <w:r w:rsidRPr="0014558A">
              <w:rPr>
                <w:rFonts w:ascii="STIX" w:eastAsia="Times New Roman" w:hAnsi="STIX" w:cs="STIX MathJax Main"/>
                <w:b/>
                <w:i/>
                <w:sz w:val="18"/>
                <w:szCs w:val="20"/>
              </w:rPr>
              <w:t>V</w:t>
            </w:r>
          </w:p>
        </w:tc>
        <w:tc>
          <w:tcPr>
            <w:tcW w:w="1106" w:type="dxa"/>
            <w:tcBorders>
              <w:top w:val="single" w:sz="12" w:space="0" w:color="auto"/>
              <w:left w:val="nil"/>
              <w:bottom w:val="single" w:sz="4"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b/>
                <w:sz w:val="18"/>
                <w:szCs w:val="20"/>
              </w:rPr>
            </w:pPr>
            <w:r w:rsidRPr="0014558A">
              <w:rPr>
                <w:rFonts w:ascii="STIX" w:eastAsia="Times New Roman" w:hAnsi="STIX" w:cs="STIX MathJax Main"/>
                <w:b/>
                <w:sz w:val="18"/>
                <w:szCs w:val="20"/>
              </w:rPr>
              <w:t>Derivative</w:t>
            </w:r>
          </w:p>
        </w:tc>
        <w:tc>
          <w:tcPr>
            <w:tcW w:w="1095" w:type="dxa"/>
            <w:tcBorders>
              <w:top w:val="single" w:sz="12" w:space="0" w:color="auto"/>
              <w:left w:val="nil"/>
              <w:bottom w:val="single" w:sz="4"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b/>
                <w:sz w:val="18"/>
                <w:szCs w:val="20"/>
              </w:rPr>
            </w:pPr>
            <w:r w:rsidRPr="0014558A">
              <w:rPr>
                <w:rFonts w:ascii="STIX" w:eastAsia="Times New Roman" w:hAnsi="STIX" w:cs="STIX MathJax Main"/>
                <w:b/>
                <w:sz w:val="18"/>
                <w:szCs w:val="20"/>
              </w:rPr>
              <w:t>Method</w:t>
            </w:r>
          </w:p>
        </w:tc>
      </w:tr>
      <w:tr w:rsidR="0014558A" w:rsidRPr="0014558A" w:rsidTr="00FF7247">
        <w:trPr>
          <w:trHeight w:val="255"/>
        </w:trPr>
        <w:tc>
          <w:tcPr>
            <w:tcW w:w="720" w:type="dxa"/>
            <w:tcBorders>
              <w:top w:val="single" w:sz="4" w:space="0" w:color="auto"/>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w:t>
            </w:r>
          </w:p>
        </w:tc>
        <w:tc>
          <w:tcPr>
            <w:tcW w:w="872" w:type="dxa"/>
            <w:tcBorders>
              <w:top w:val="single" w:sz="4" w:space="0" w:color="auto"/>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0.4</w:t>
            </w:r>
          </w:p>
        </w:tc>
        <w:tc>
          <w:tcPr>
            <w:tcW w:w="1106" w:type="dxa"/>
            <w:tcBorders>
              <w:top w:val="single" w:sz="4" w:space="0" w:color="auto"/>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0.0415</w:t>
            </w:r>
          </w:p>
        </w:tc>
        <w:tc>
          <w:tcPr>
            <w:tcW w:w="1095" w:type="dxa"/>
            <w:tcBorders>
              <w:top w:val="single" w:sz="4" w:space="0" w:color="auto"/>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Forward</w:t>
            </w:r>
          </w:p>
        </w:tc>
      </w:tr>
      <w:tr w:rsidR="0014558A" w:rsidRPr="0014558A" w:rsidTr="00FF7247">
        <w:trPr>
          <w:trHeight w:val="255"/>
        </w:trPr>
        <w:tc>
          <w:tcPr>
            <w:tcW w:w="720"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10</w:t>
            </w:r>
          </w:p>
        </w:tc>
        <w:tc>
          <w:tcPr>
            <w:tcW w:w="872"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0.7</w:t>
            </w:r>
          </w:p>
        </w:tc>
        <w:tc>
          <w:tcPr>
            <w:tcW w:w="1106"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0.0185</w:t>
            </w:r>
          </w:p>
        </w:tc>
        <w:tc>
          <w:tcPr>
            <w:tcW w:w="1095"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Centered</w:t>
            </w:r>
          </w:p>
        </w:tc>
      </w:tr>
      <w:tr w:rsidR="0014558A" w:rsidRPr="0014558A" w:rsidTr="00FF7247">
        <w:trPr>
          <w:trHeight w:val="255"/>
        </w:trPr>
        <w:tc>
          <w:tcPr>
            <w:tcW w:w="720"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20</w:t>
            </w:r>
          </w:p>
        </w:tc>
        <w:tc>
          <w:tcPr>
            <w:tcW w:w="872"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0.77</w:t>
            </w:r>
          </w:p>
        </w:tc>
        <w:tc>
          <w:tcPr>
            <w:tcW w:w="1106"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0.009</w:t>
            </w:r>
          </w:p>
        </w:tc>
        <w:tc>
          <w:tcPr>
            <w:tcW w:w="1095"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Centered</w:t>
            </w:r>
          </w:p>
        </w:tc>
      </w:tr>
      <w:tr w:rsidR="0014558A" w:rsidRPr="0014558A" w:rsidTr="00FF7247">
        <w:trPr>
          <w:trHeight w:val="255"/>
        </w:trPr>
        <w:tc>
          <w:tcPr>
            <w:tcW w:w="720"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30</w:t>
            </w:r>
          </w:p>
        </w:tc>
        <w:tc>
          <w:tcPr>
            <w:tcW w:w="872"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0.88</w:t>
            </w:r>
          </w:p>
        </w:tc>
        <w:tc>
          <w:tcPr>
            <w:tcW w:w="1106"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0.011133</w:t>
            </w:r>
          </w:p>
        </w:tc>
        <w:tc>
          <w:tcPr>
            <w:tcW w:w="1095"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Unequal</w:t>
            </w:r>
          </w:p>
        </w:tc>
      </w:tr>
      <w:tr w:rsidR="0014558A" w:rsidRPr="0014558A" w:rsidTr="00FF7247">
        <w:trPr>
          <w:trHeight w:val="255"/>
        </w:trPr>
        <w:tc>
          <w:tcPr>
            <w:tcW w:w="720"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45</w:t>
            </w:r>
          </w:p>
        </w:tc>
        <w:tc>
          <w:tcPr>
            <w:tcW w:w="872"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1.05</w:t>
            </w:r>
          </w:p>
        </w:tc>
        <w:tc>
          <w:tcPr>
            <w:tcW w:w="1106"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0.009667</w:t>
            </w:r>
          </w:p>
        </w:tc>
        <w:tc>
          <w:tcPr>
            <w:tcW w:w="1095" w:type="dxa"/>
            <w:tcBorders>
              <w:top w:val="nil"/>
              <w:left w:val="nil"/>
              <w:bottom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Centered</w:t>
            </w:r>
          </w:p>
        </w:tc>
      </w:tr>
      <w:tr w:rsidR="0014558A" w:rsidRPr="0014558A" w:rsidTr="00FF7247">
        <w:trPr>
          <w:trHeight w:val="255"/>
        </w:trPr>
        <w:tc>
          <w:tcPr>
            <w:tcW w:w="720" w:type="dxa"/>
            <w:tcBorders>
              <w:top w:val="nil"/>
              <w:left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60</w:t>
            </w:r>
          </w:p>
        </w:tc>
        <w:tc>
          <w:tcPr>
            <w:tcW w:w="872" w:type="dxa"/>
            <w:tcBorders>
              <w:top w:val="nil"/>
              <w:left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1.17</w:t>
            </w:r>
          </w:p>
        </w:tc>
        <w:tc>
          <w:tcPr>
            <w:tcW w:w="1106" w:type="dxa"/>
            <w:tcBorders>
              <w:top w:val="nil"/>
              <w:left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0.01</w:t>
            </w:r>
          </w:p>
        </w:tc>
        <w:tc>
          <w:tcPr>
            <w:tcW w:w="1095" w:type="dxa"/>
            <w:tcBorders>
              <w:top w:val="nil"/>
              <w:left w:val="nil"/>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Centered</w:t>
            </w:r>
          </w:p>
        </w:tc>
      </w:tr>
      <w:tr w:rsidR="0014558A" w:rsidRPr="0014558A" w:rsidTr="00FF7247">
        <w:trPr>
          <w:trHeight w:val="255"/>
        </w:trPr>
        <w:tc>
          <w:tcPr>
            <w:tcW w:w="720" w:type="dxa"/>
            <w:tcBorders>
              <w:top w:val="nil"/>
              <w:left w:val="nil"/>
              <w:bottom w:val="single" w:sz="12"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75</w:t>
            </w:r>
          </w:p>
        </w:tc>
        <w:tc>
          <w:tcPr>
            <w:tcW w:w="872" w:type="dxa"/>
            <w:tcBorders>
              <w:top w:val="nil"/>
              <w:left w:val="nil"/>
              <w:bottom w:val="single" w:sz="12"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1.35</w:t>
            </w:r>
          </w:p>
        </w:tc>
        <w:tc>
          <w:tcPr>
            <w:tcW w:w="1106" w:type="dxa"/>
            <w:tcBorders>
              <w:top w:val="nil"/>
              <w:left w:val="nil"/>
              <w:bottom w:val="single" w:sz="12"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0.014</w:t>
            </w:r>
          </w:p>
        </w:tc>
        <w:tc>
          <w:tcPr>
            <w:tcW w:w="1095" w:type="dxa"/>
            <w:tcBorders>
              <w:top w:val="nil"/>
              <w:left w:val="nil"/>
              <w:bottom w:val="single" w:sz="12" w:space="0" w:color="auto"/>
              <w:right w:val="nil"/>
            </w:tcBorders>
            <w:noWrap/>
            <w:vAlign w:val="bottom"/>
          </w:tcPr>
          <w:p w:rsidR="0014558A" w:rsidRPr="0014558A" w:rsidRDefault="0014558A" w:rsidP="0014558A">
            <w:pPr>
              <w:spacing w:after="0" w:line="240" w:lineRule="auto"/>
              <w:rPr>
                <w:rFonts w:ascii="STIX MathJax Main" w:eastAsia="Times New Roman" w:hAnsi="STIX MathJax Main" w:cs="STIX MathJax Main"/>
                <w:sz w:val="18"/>
                <w:szCs w:val="20"/>
              </w:rPr>
            </w:pPr>
            <w:r w:rsidRPr="0014558A">
              <w:rPr>
                <w:rFonts w:ascii="STIX" w:eastAsia="Times New Roman" w:hAnsi="STIX" w:cs="STIX MathJax Main"/>
                <w:sz w:val="18"/>
                <w:szCs w:val="20"/>
              </w:rPr>
              <w:t>Backward</w:t>
            </w:r>
          </w:p>
        </w:tc>
      </w:tr>
    </w:tbl>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sidRPr="0014558A">
        <w:rPr>
          <w:rFonts w:ascii="STIX" w:eastAsia="Times New Roman" w:hAnsi="STIX"/>
          <w:sz w:val="20"/>
          <w:szCs w:val="24"/>
        </w:rPr>
        <w:t>The derivatives can be plotted versus time as</w:t>
      </w:r>
    </w:p>
    <w:p w:rsidR="0014558A" w:rsidRPr="0014558A" w:rsidRDefault="0014558A" w:rsidP="0014558A">
      <w:pPr>
        <w:spacing w:after="0" w:line="240" w:lineRule="auto"/>
        <w:rPr>
          <w:rFonts w:ascii="STIX" w:eastAsia="Times New Roman" w:hAnsi="STIX"/>
          <w:sz w:val="20"/>
          <w:szCs w:val="24"/>
        </w:rPr>
      </w:pPr>
    </w:p>
    <w:p w:rsidR="0014558A" w:rsidRPr="0014558A" w:rsidRDefault="0014558A" w:rsidP="0014558A">
      <w:pPr>
        <w:spacing w:after="0" w:line="240" w:lineRule="auto"/>
        <w:rPr>
          <w:rFonts w:ascii="STIX" w:eastAsia="Times New Roman" w:hAnsi="STIX"/>
          <w:sz w:val="20"/>
          <w:szCs w:val="24"/>
        </w:rPr>
      </w:pPr>
      <w:r>
        <w:rPr>
          <w:rFonts w:ascii="STIX" w:eastAsia="Times New Roman" w:hAnsi="STIX"/>
          <w:sz w:val="20"/>
          <w:szCs w:val="24"/>
        </w:rPr>
        <w:drawing>
          <wp:inline distT="0" distB="0" distL="0" distR="0">
            <wp:extent cx="3295650" cy="1381125"/>
            <wp:effectExtent l="0" t="0" r="0" b="0"/>
            <wp:docPr id="3306" name="Picture 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pic:cNvPicPr>
                      <a:picLocks noChangeAspect="1" noChangeArrowheads="1"/>
                    </pic:cNvPicPr>
                  </pic:nvPicPr>
                  <pic:blipFill>
                    <a:blip r:embed="rId12" cstate="print"/>
                    <a:srcRect/>
                    <a:stretch>
                      <a:fillRect/>
                    </a:stretch>
                  </pic:blipFill>
                  <pic:spPr bwMode="auto">
                    <a:xfrm>
                      <a:off x="0" y="0"/>
                      <a:ext cx="3295650" cy="1381125"/>
                    </a:xfrm>
                    <a:prstGeom prst="rect">
                      <a:avLst/>
                    </a:prstGeom>
                    <a:noFill/>
                    <a:ln w="9525">
                      <a:noFill/>
                      <a:miter lim="800000"/>
                      <a:headEnd/>
                      <a:tailEnd/>
                    </a:ln>
                  </pic:spPr>
                </pic:pic>
              </a:graphicData>
            </a:graphic>
          </wp:inline>
        </w:drawing>
      </w:r>
    </w:p>
    <w:p w:rsidR="00696EAA" w:rsidRDefault="00696EAA" w:rsidP="0014558A">
      <w:pPr>
        <w:spacing w:after="0" w:line="240" w:lineRule="auto"/>
        <w:rPr>
          <w:rFonts w:ascii="STIX" w:eastAsia="Times New Roman" w:hAnsi="STIX"/>
          <w:sz w:val="20"/>
          <w:szCs w:val="24"/>
        </w:rPr>
      </w:pPr>
    </w:p>
    <w:sectPr w:rsidR="00696EAA"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0B78D-6699-4D26-B1A3-23D8787D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2017-03-31T19:18:00Z</dcterms:created>
  <dcterms:modified xsi:type="dcterms:W3CDTF">2017-03-31T19:18:00Z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