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CA6733">
        <w:rPr>
          <w:b/>
          <w:noProof/>
          <w:sz w:val="20"/>
          <w:szCs w:val="20"/>
        </w:rPr>
        <w:t>25</w:t>
      </w:r>
    </w:p>
    <w:p w:rsidR="005375C4" w:rsidRDefault="005375C4" w:rsidP="005375C4">
      <w:pPr>
        <w:spacing w:after="0" w:line="240" w:lineRule="auto"/>
        <w:rPr>
          <w:rFonts w:ascii="STIX" w:eastAsia="Times New Roman" w:hAnsi="STIX"/>
          <w:sz w:val="20"/>
          <w:szCs w:val="24"/>
        </w:rPr>
      </w:pPr>
    </w:p>
    <w:p w:rsidR="00CA6733" w:rsidRPr="00CA6733" w:rsidRDefault="00CA6733" w:rsidP="00CA6733">
      <w:pPr>
        <w:spacing w:after="0" w:line="240" w:lineRule="auto"/>
        <w:rPr>
          <w:rFonts w:ascii="STIX" w:eastAsia="Times New Roman" w:hAnsi="STIX"/>
          <w:sz w:val="20"/>
          <w:szCs w:val="24"/>
        </w:rPr>
      </w:pPr>
      <w:r w:rsidRPr="00CA6733">
        <w:rPr>
          <w:rFonts w:ascii="STIX" w:eastAsia="Times New Roman" w:hAnsi="STIX"/>
          <w:sz w:val="20"/>
          <w:szCs w:val="24"/>
        </w:rPr>
        <w:t>First, we can estimate the areas by numerically differentiating the volume data. Because the values are equally spaced, we can use the second</w:t>
      </w:r>
      <w:r w:rsidRPr="00CA6733">
        <w:rPr>
          <w:rFonts w:ascii="STIX" w:eastAsia="Times New Roman" w:hAnsi="STIX" w:cs="STIX MathJax Main"/>
          <w:sz w:val="20"/>
          <w:szCs w:val="24"/>
        </w:rPr>
        <w:t>-</w:t>
      </w:r>
      <w:r w:rsidRPr="00CA6733">
        <w:rPr>
          <w:rFonts w:ascii="STIX" w:eastAsia="Times New Roman" w:hAnsi="STIX"/>
          <w:sz w:val="20"/>
          <w:szCs w:val="24"/>
        </w:rPr>
        <w:t>order difference formulas from Fig. 21.3 to compute the derivatives at each depth. For example, at the first depth, we can use the forward difference to compute</w:t>
      </w:r>
    </w:p>
    <w:p w:rsidR="00CA6733" w:rsidRPr="00CA6733" w:rsidRDefault="00CA6733" w:rsidP="00CA6733">
      <w:pPr>
        <w:spacing w:after="0" w:line="240" w:lineRule="auto"/>
        <w:rPr>
          <w:rFonts w:ascii="STIX" w:eastAsia="Times New Roman" w:hAnsi="STIX"/>
          <w:sz w:val="20"/>
          <w:szCs w:val="24"/>
        </w:rPr>
      </w:pPr>
    </w:p>
    <w:p w:rsidR="00CA6733" w:rsidRPr="00CA6733" w:rsidRDefault="00CA6733" w:rsidP="00CA6733">
      <w:pPr>
        <w:spacing w:after="0" w:line="240" w:lineRule="auto"/>
        <w:rPr>
          <w:rFonts w:ascii="STIX" w:eastAsia="Times New Roman" w:hAnsi="STIX"/>
          <w:sz w:val="20"/>
          <w:szCs w:val="24"/>
        </w:rPr>
      </w:pPr>
      <w:r w:rsidRPr="00CA6733">
        <w:rPr>
          <w:rFonts w:ascii="STIX" w:eastAsia="Times New Roman" w:hAnsi="STIX"/>
          <w:position w:val="-26"/>
          <w:sz w:val="20"/>
          <w:szCs w:val="24"/>
        </w:rPr>
        <w:object w:dxaOrig="76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409" type="#_x0000_t75" style="width:381pt;height:33pt" o:ole="">
            <v:imagedata r:id="rId8" o:title=""/>
          </v:shape>
          <o:OLEObject Type="Embed" ProgID="Equation.DSMT4" ShapeID="_x0000_i4409" DrawAspect="Content" ObjectID="_1552487138" r:id="rId9"/>
        </w:object>
      </w:r>
    </w:p>
    <w:p w:rsidR="00CA6733" w:rsidRPr="00CA6733" w:rsidRDefault="00CA6733" w:rsidP="00CA6733">
      <w:pPr>
        <w:spacing w:after="0" w:line="240" w:lineRule="auto"/>
        <w:rPr>
          <w:rFonts w:ascii="STIX" w:eastAsia="Times New Roman" w:hAnsi="STIX"/>
          <w:sz w:val="20"/>
          <w:szCs w:val="24"/>
        </w:rPr>
      </w:pPr>
    </w:p>
    <w:p w:rsidR="00CA6733" w:rsidRPr="00CA6733" w:rsidRDefault="00CA6733" w:rsidP="00CA6733">
      <w:pPr>
        <w:spacing w:after="0" w:line="240" w:lineRule="auto"/>
        <w:rPr>
          <w:rFonts w:ascii="STIX" w:eastAsia="Times New Roman" w:hAnsi="STIX"/>
          <w:sz w:val="20"/>
          <w:szCs w:val="24"/>
        </w:rPr>
      </w:pPr>
      <w:r w:rsidRPr="00CA6733">
        <w:rPr>
          <w:rFonts w:ascii="STIX" w:eastAsia="Times New Roman" w:hAnsi="STIX"/>
          <w:sz w:val="20"/>
          <w:szCs w:val="24"/>
        </w:rPr>
        <w:t>For the interior points, second</w:t>
      </w:r>
      <w:r w:rsidRPr="00CA6733">
        <w:rPr>
          <w:rFonts w:ascii="STIX" w:eastAsia="Times New Roman" w:hAnsi="STIX" w:cs="STIX MathJax Main"/>
          <w:sz w:val="20"/>
          <w:szCs w:val="24"/>
        </w:rPr>
        <w:t>-</w:t>
      </w:r>
      <w:r w:rsidRPr="00CA6733">
        <w:rPr>
          <w:rFonts w:ascii="STIX" w:eastAsia="Times New Roman" w:hAnsi="STIX"/>
          <w:sz w:val="20"/>
          <w:szCs w:val="24"/>
        </w:rPr>
        <w:t xml:space="preserve">order centered differences can be used. For example, at the second point at </w:t>
      </w:r>
      <w:r w:rsidRPr="00CA6733">
        <w:rPr>
          <w:rFonts w:ascii="Courier New" w:eastAsia="Times New Roman" w:hAnsi="Courier New"/>
          <w:sz w:val="20"/>
          <w:szCs w:val="24"/>
        </w:rPr>
        <w:t>(</w:t>
      </w:r>
      <w:r w:rsidRPr="00CA6733">
        <w:rPr>
          <w:rFonts w:ascii="STIX" w:eastAsia="Times New Roman" w:hAnsi="STIX"/>
          <w:i/>
          <w:sz w:val="20"/>
          <w:szCs w:val="24"/>
        </w:rPr>
        <w:t>z</w:t>
      </w:r>
      <w:r w:rsidRPr="00CA6733">
        <w:rPr>
          <w:rFonts w:ascii="STIX" w:eastAsia="Times New Roman" w:hAnsi="STIX"/>
          <w:sz w:val="20"/>
          <w:szCs w:val="24"/>
        </w:rPr>
        <w:t xml:space="preserve"> </w:t>
      </w:r>
      <w:r w:rsidRPr="00CA6733">
        <w:rPr>
          <w:rFonts w:ascii="Courier New" w:eastAsia="Times New Roman" w:hAnsi="Courier New"/>
          <w:sz w:val="20"/>
          <w:szCs w:val="24"/>
        </w:rPr>
        <w:t>=</w:t>
      </w:r>
      <w:r w:rsidRPr="00CA6733">
        <w:rPr>
          <w:rFonts w:ascii="STIX" w:eastAsia="Times New Roman" w:hAnsi="STIX"/>
          <w:sz w:val="20"/>
          <w:szCs w:val="24"/>
        </w:rPr>
        <w:t xml:space="preserve"> 4 m</w:t>
      </w:r>
      <w:r w:rsidRPr="00CA6733">
        <w:rPr>
          <w:rFonts w:ascii="Courier New" w:eastAsia="Times New Roman" w:hAnsi="Courier New"/>
          <w:sz w:val="20"/>
          <w:szCs w:val="24"/>
        </w:rPr>
        <w:t>)</w:t>
      </w:r>
      <w:r w:rsidRPr="00CA6733">
        <w:rPr>
          <w:rFonts w:ascii="STIX" w:eastAsia="Times New Roman" w:hAnsi="STIX"/>
          <w:sz w:val="20"/>
          <w:szCs w:val="24"/>
        </w:rPr>
        <w:t>,</w:t>
      </w:r>
    </w:p>
    <w:p w:rsidR="00CA6733" w:rsidRPr="00CA6733" w:rsidRDefault="00CA6733" w:rsidP="00CA6733">
      <w:pPr>
        <w:spacing w:after="0" w:line="240" w:lineRule="auto"/>
        <w:rPr>
          <w:rFonts w:ascii="STIX" w:eastAsia="Times New Roman" w:hAnsi="STIX"/>
          <w:sz w:val="20"/>
          <w:szCs w:val="24"/>
        </w:rPr>
      </w:pPr>
    </w:p>
    <w:p w:rsidR="00CA6733" w:rsidRPr="00CA6733" w:rsidRDefault="00CA6733" w:rsidP="00CA6733">
      <w:pPr>
        <w:spacing w:after="0" w:line="240" w:lineRule="auto"/>
        <w:rPr>
          <w:rFonts w:ascii="STIX" w:eastAsia="Times New Roman" w:hAnsi="STIX"/>
          <w:sz w:val="20"/>
          <w:szCs w:val="24"/>
        </w:rPr>
      </w:pPr>
      <w:r w:rsidRPr="00CA6733">
        <w:rPr>
          <w:rFonts w:ascii="STIX" w:eastAsia="Times New Roman" w:hAnsi="STIX"/>
          <w:position w:val="-26"/>
          <w:sz w:val="20"/>
          <w:szCs w:val="24"/>
        </w:rPr>
        <w:object w:dxaOrig="5600" w:dyaOrig="660">
          <v:shape id="_x0000_i4410" type="#_x0000_t75" style="width:279.75pt;height:33pt" o:ole="">
            <v:imagedata r:id="rId10" o:title=""/>
          </v:shape>
          <o:OLEObject Type="Embed" ProgID="Equation.DSMT4" ShapeID="_x0000_i4410" DrawAspect="Content" ObjectID="_1552487139" r:id="rId11"/>
        </w:object>
      </w:r>
    </w:p>
    <w:p w:rsidR="00CA6733" w:rsidRPr="00CA6733" w:rsidRDefault="00CA6733" w:rsidP="00CA6733">
      <w:pPr>
        <w:spacing w:after="0" w:line="240" w:lineRule="auto"/>
        <w:rPr>
          <w:rFonts w:ascii="STIX" w:eastAsia="Times New Roman" w:hAnsi="STIX"/>
          <w:sz w:val="20"/>
          <w:szCs w:val="24"/>
        </w:rPr>
      </w:pPr>
    </w:p>
    <w:p w:rsidR="00CA6733" w:rsidRPr="00CA6733" w:rsidRDefault="00CA6733" w:rsidP="00CA6733">
      <w:pPr>
        <w:spacing w:after="0" w:line="240" w:lineRule="auto"/>
        <w:rPr>
          <w:rFonts w:ascii="STIX" w:eastAsia="Times New Roman" w:hAnsi="STIX"/>
          <w:sz w:val="20"/>
          <w:szCs w:val="24"/>
        </w:rPr>
      </w:pPr>
      <w:r w:rsidRPr="00CA6733">
        <w:rPr>
          <w:rFonts w:ascii="STIX" w:eastAsia="Times New Roman" w:hAnsi="STIX"/>
          <w:sz w:val="20"/>
          <w:szCs w:val="24"/>
        </w:rPr>
        <w:t>The other interior points can be determined in a similar fashion</w:t>
      </w:r>
    </w:p>
    <w:p w:rsidR="00CA6733" w:rsidRPr="00CA6733" w:rsidRDefault="00CA6733" w:rsidP="00CA6733">
      <w:pPr>
        <w:spacing w:after="0" w:line="240" w:lineRule="auto"/>
        <w:rPr>
          <w:rFonts w:ascii="STIX" w:eastAsia="Times New Roman" w:hAnsi="STIX"/>
          <w:sz w:val="20"/>
          <w:szCs w:val="24"/>
        </w:rPr>
      </w:pPr>
    </w:p>
    <w:p w:rsidR="00CA6733" w:rsidRPr="00CA6733" w:rsidRDefault="00CA6733" w:rsidP="00CA6733">
      <w:pPr>
        <w:spacing w:after="0" w:line="240" w:lineRule="auto"/>
        <w:rPr>
          <w:rFonts w:ascii="STIX" w:eastAsia="Times New Roman" w:hAnsi="STIX"/>
          <w:sz w:val="20"/>
          <w:szCs w:val="24"/>
        </w:rPr>
      </w:pPr>
      <w:r w:rsidRPr="00CA6733">
        <w:rPr>
          <w:rFonts w:ascii="STIX" w:eastAsia="Times New Roman" w:hAnsi="STIX"/>
          <w:position w:val="-26"/>
          <w:sz w:val="20"/>
          <w:szCs w:val="24"/>
        </w:rPr>
        <w:object w:dxaOrig="5380" w:dyaOrig="660">
          <v:shape id="_x0000_i4411" type="#_x0000_t75" style="width:269.25pt;height:33pt" o:ole="">
            <v:imagedata r:id="rId12" o:title=""/>
          </v:shape>
          <o:OLEObject Type="Embed" ProgID="Equation.DSMT4" ShapeID="_x0000_i4411" DrawAspect="Content" ObjectID="_1552487140" r:id="rId13"/>
        </w:object>
      </w:r>
    </w:p>
    <w:p w:rsidR="00CA6733" w:rsidRPr="00CA6733" w:rsidRDefault="00CA6733" w:rsidP="00CA6733">
      <w:pPr>
        <w:spacing w:after="0" w:line="240" w:lineRule="auto"/>
        <w:rPr>
          <w:rFonts w:ascii="STIX" w:eastAsia="Times New Roman" w:hAnsi="STIX"/>
          <w:sz w:val="20"/>
          <w:szCs w:val="24"/>
        </w:rPr>
      </w:pPr>
    </w:p>
    <w:p w:rsidR="00CA6733" w:rsidRPr="00CA6733" w:rsidRDefault="00CA6733" w:rsidP="00CA6733">
      <w:pPr>
        <w:spacing w:after="0" w:line="240" w:lineRule="auto"/>
        <w:rPr>
          <w:rFonts w:ascii="STIX" w:eastAsia="Times New Roman" w:hAnsi="STIX"/>
          <w:sz w:val="20"/>
          <w:szCs w:val="24"/>
        </w:rPr>
      </w:pPr>
      <w:r w:rsidRPr="00CA6733">
        <w:rPr>
          <w:rFonts w:ascii="STIX" w:eastAsia="Times New Roman" w:hAnsi="STIX"/>
          <w:position w:val="-26"/>
          <w:sz w:val="20"/>
          <w:szCs w:val="24"/>
        </w:rPr>
        <w:object w:dxaOrig="5100" w:dyaOrig="660">
          <v:shape id="_x0000_i4412" type="#_x0000_t75" style="width:255pt;height:33pt" o:ole="">
            <v:imagedata r:id="rId14" o:title=""/>
          </v:shape>
          <o:OLEObject Type="Embed" ProgID="Equation.DSMT4" ShapeID="_x0000_i4412" DrawAspect="Content" ObjectID="_1552487141" r:id="rId15"/>
        </w:object>
      </w:r>
    </w:p>
    <w:p w:rsidR="00CA6733" w:rsidRPr="00CA6733" w:rsidRDefault="00CA6733" w:rsidP="00CA6733">
      <w:pPr>
        <w:spacing w:after="0" w:line="240" w:lineRule="auto"/>
        <w:rPr>
          <w:rFonts w:ascii="STIX" w:eastAsia="Times New Roman" w:hAnsi="STIX"/>
          <w:sz w:val="20"/>
          <w:szCs w:val="24"/>
        </w:rPr>
      </w:pPr>
    </w:p>
    <w:p w:rsidR="00CA6733" w:rsidRPr="00CA6733" w:rsidRDefault="00CA6733" w:rsidP="00CA6733">
      <w:pPr>
        <w:spacing w:after="0" w:line="240" w:lineRule="auto"/>
        <w:rPr>
          <w:rFonts w:ascii="STIX" w:eastAsia="Times New Roman" w:hAnsi="STIX"/>
          <w:sz w:val="20"/>
          <w:szCs w:val="24"/>
        </w:rPr>
      </w:pPr>
      <w:r w:rsidRPr="00CA6733">
        <w:rPr>
          <w:rFonts w:ascii="STIX" w:eastAsia="Times New Roman" w:hAnsi="STIX"/>
          <w:sz w:val="20"/>
          <w:szCs w:val="24"/>
        </w:rPr>
        <w:t>For the last point, the second</w:t>
      </w:r>
      <w:r w:rsidRPr="00CA6733">
        <w:rPr>
          <w:rFonts w:ascii="STIX" w:eastAsia="Times New Roman" w:hAnsi="STIX" w:cs="STIX MathJax Main"/>
          <w:sz w:val="20"/>
          <w:szCs w:val="24"/>
        </w:rPr>
        <w:t>-</w:t>
      </w:r>
      <w:r w:rsidRPr="00CA6733">
        <w:rPr>
          <w:rFonts w:ascii="STIX" w:eastAsia="Times New Roman" w:hAnsi="STIX"/>
          <w:sz w:val="20"/>
          <w:szCs w:val="24"/>
        </w:rPr>
        <w:t>order backward formula yields</w:t>
      </w:r>
    </w:p>
    <w:p w:rsidR="00CA6733" w:rsidRPr="00CA6733" w:rsidRDefault="00CA6733" w:rsidP="00CA6733">
      <w:pPr>
        <w:spacing w:after="0" w:line="240" w:lineRule="auto"/>
        <w:rPr>
          <w:rFonts w:ascii="STIX" w:eastAsia="Times New Roman" w:hAnsi="STIX"/>
          <w:sz w:val="20"/>
          <w:szCs w:val="24"/>
        </w:rPr>
      </w:pPr>
    </w:p>
    <w:p w:rsidR="00CA6733" w:rsidRPr="00CA6733" w:rsidRDefault="00CA6733" w:rsidP="00CA6733">
      <w:pPr>
        <w:spacing w:after="0" w:line="240" w:lineRule="auto"/>
        <w:rPr>
          <w:rFonts w:ascii="STIX" w:eastAsia="Times New Roman" w:hAnsi="STIX"/>
          <w:sz w:val="20"/>
          <w:szCs w:val="24"/>
        </w:rPr>
      </w:pPr>
      <w:r w:rsidRPr="00CA6733">
        <w:rPr>
          <w:rFonts w:ascii="STIX" w:eastAsia="Times New Roman" w:hAnsi="STIX"/>
          <w:position w:val="-26"/>
          <w:sz w:val="20"/>
          <w:szCs w:val="24"/>
        </w:rPr>
        <w:object w:dxaOrig="6680" w:dyaOrig="660">
          <v:shape id="_x0000_i4413" type="#_x0000_t75" style="width:333.75pt;height:33pt" o:ole="">
            <v:imagedata r:id="rId16" o:title=""/>
          </v:shape>
          <o:OLEObject Type="Embed" ProgID="Equation.DSMT4" ShapeID="_x0000_i4413" DrawAspect="Content" ObjectID="_1552487142" r:id="rId17"/>
        </w:object>
      </w:r>
    </w:p>
    <w:p w:rsidR="00CA6733" w:rsidRPr="00CA6733" w:rsidRDefault="00CA6733" w:rsidP="00CA6733">
      <w:pPr>
        <w:spacing w:after="0" w:line="240" w:lineRule="auto"/>
        <w:rPr>
          <w:rFonts w:ascii="STIX" w:eastAsia="Times New Roman" w:hAnsi="STIX"/>
          <w:sz w:val="20"/>
          <w:szCs w:val="24"/>
        </w:rPr>
      </w:pPr>
    </w:p>
    <w:p w:rsidR="00CA6733" w:rsidRPr="00CA6733" w:rsidRDefault="00CA6733" w:rsidP="00CA6733">
      <w:pPr>
        <w:spacing w:after="0" w:line="240" w:lineRule="auto"/>
        <w:rPr>
          <w:rFonts w:ascii="STIX" w:eastAsia="Times New Roman" w:hAnsi="STIX"/>
          <w:sz w:val="20"/>
          <w:szCs w:val="24"/>
        </w:rPr>
      </w:pPr>
      <w:r w:rsidRPr="00CA6733">
        <w:rPr>
          <w:rFonts w:ascii="STIX" w:eastAsia="Times New Roman" w:hAnsi="STIX"/>
          <w:sz w:val="20"/>
          <w:szCs w:val="24"/>
        </w:rPr>
        <w:t xml:space="preserve">Since this is clearly a physically unrealistic result, we will assume that the bottom area is 0. The results are summarized in the following table along with the other quantities needed to determine the average concentration. </w:t>
      </w:r>
    </w:p>
    <w:p w:rsidR="00CA6733" w:rsidRPr="00CA6733" w:rsidRDefault="00CA6733" w:rsidP="00CA6733">
      <w:pPr>
        <w:spacing w:after="0" w:line="240" w:lineRule="auto"/>
        <w:rPr>
          <w:rFonts w:ascii="STIX" w:eastAsia="Times New Roman" w:hAnsi="STIX"/>
          <w:sz w:val="20"/>
          <w:szCs w:val="24"/>
        </w:rPr>
      </w:pPr>
    </w:p>
    <w:tbl>
      <w:tblPr>
        <w:tblW w:w="4832" w:type="dxa"/>
        <w:tblInd w:w="468" w:type="dxa"/>
        <w:tblLook w:val="0000"/>
      </w:tblPr>
      <w:tblGrid>
        <w:gridCol w:w="720"/>
        <w:gridCol w:w="1260"/>
        <w:gridCol w:w="900"/>
        <w:gridCol w:w="981"/>
        <w:gridCol w:w="1106"/>
      </w:tblGrid>
      <w:tr w:rsidR="00CA6733" w:rsidRPr="00CA6733" w:rsidTr="00FF7247">
        <w:trPr>
          <w:trHeight w:val="255"/>
        </w:trPr>
        <w:tc>
          <w:tcPr>
            <w:tcW w:w="720" w:type="dxa"/>
            <w:tcBorders>
              <w:top w:val="single" w:sz="12" w:space="0" w:color="auto"/>
              <w:left w:val="nil"/>
              <w:bottom w:val="single" w:sz="4" w:space="0" w:color="auto"/>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b/>
                <w:sz w:val="18"/>
                <w:szCs w:val="20"/>
              </w:rPr>
            </w:pPr>
            <w:r w:rsidRPr="00CA6733">
              <w:rPr>
                <w:rFonts w:ascii="STIX" w:eastAsia="Times New Roman" w:hAnsi="STIX" w:cs="STIX MathJax Main"/>
                <w:b/>
                <w:i/>
                <w:sz w:val="18"/>
                <w:szCs w:val="20"/>
              </w:rPr>
              <w:t>z</w:t>
            </w:r>
            <w:r w:rsidRPr="00CA6733">
              <w:rPr>
                <w:rFonts w:ascii="STIX" w:eastAsia="Times New Roman" w:hAnsi="STIX" w:cs="STIX MathJax Main"/>
                <w:b/>
                <w:sz w:val="18"/>
                <w:szCs w:val="20"/>
              </w:rPr>
              <w:t>, m</w:t>
            </w:r>
          </w:p>
        </w:tc>
        <w:tc>
          <w:tcPr>
            <w:tcW w:w="1260" w:type="dxa"/>
            <w:tcBorders>
              <w:top w:val="single" w:sz="12" w:space="0" w:color="auto"/>
              <w:left w:val="nil"/>
              <w:bottom w:val="single" w:sz="4" w:space="0" w:color="auto"/>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b/>
                <w:sz w:val="18"/>
                <w:szCs w:val="20"/>
              </w:rPr>
            </w:pPr>
            <w:r w:rsidRPr="00CA6733">
              <w:rPr>
                <w:rFonts w:ascii="STIX" w:eastAsia="Times New Roman" w:hAnsi="STIX" w:cs="STIX MathJax Main"/>
                <w:b/>
                <w:i/>
                <w:sz w:val="18"/>
                <w:szCs w:val="20"/>
              </w:rPr>
              <w:t>V</w:t>
            </w:r>
            <w:r w:rsidRPr="00CA6733">
              <w:rPr>
                <w:rFonts w:ascii="STIX" w:eastAsia="Times New Roman" w:hAnsi="STIX" w:cs="STIX MathJax Main"/>
                <w:b/>
                <w:sz w:val="18"/>
                <w:szCs w:val="20"/>
              </w:rPr>
              <w:t>, m</w:t>
            </w:r>
            <w:r w:rsidRPr="00CA6733">
              <w:rPr>
                <w:rFonts w:ascii="STIX" w:eastAsia="Times New Roman" w:hAnsi="STIX" w:cs="STIX MathJax Main"/>
                <w:b/>
                <w:sz w:val="18"/>
                <w:szCs w:val="20"/>
                <w:vertAlign w:val="superscript"/>
              </w:rPr>
              <w:t>3</w:t>
            </w:r>
          </w:p>
        </w:tc>
        <w:tc>
          <w:tcPr>
            <w:tcW w:w="900" w:type="dxa"/>
            <w:tcBorders>
              <w:top w:val="single" w:sz="12" w:space="0" w:color="auto"/>
              <w:left w:val="nil"/>
              <w:bottom w:val="single" w:sz="4" w:space="0" w:color="auto"/>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b/>
                <w:sz w:val="18"/>
                <w:szCs w:val="20"/>
              </w:rPr>
            </w:pPr>
            <w:r w:rsidRPr="00CA6733">
              <w:rPr>
                <w:rFonts w:ascii="STIX" w:eastAsia="Times New Roman" w:hAnsi="STIX" w:cs="STIX MathJax Main"/>
                <w:b/>
                <w:i/>
                <w:sz w:val="18"/>
                <w:szCs w:val="20"/>
              </w:rPr>
              <w:t>c</w:t>
            </w:r>
            <w:r w:rsidRPr="00CA6733">
              <w:rPr>
                <w:rFonts w:ascii="STIX" w:eastAsia="Times New Roman" w:hAnsi="STIX" w:cs="STIX MathJax Main"/>
                <w:b/>
                <w:sz w:val="18"/>
                <w:szCs w:val="20"/>
              </w:rPr>
              <w:t>, g</w:t>
            </w:r>
            <w:r w:rsidRPr="00CA6733">
              <w:rPr>
                <w:rFonts w:ascii="Courier New" w:eastAsia="Times New Roman" w:hAnsi="Courier New" w:cs="STIX MathJax Main"/>
                <w:b/>
                <w:sz w:val="18"/>
                <w:szCs w:val="20"/>
              </w:rPr>
              <w:t>/</w:t>
            </w:r>
            <w:r w:rsidRPr="00CA6733">
              <w:rPr>
                <w:rFonts w:ascii="STIX" w:eastAsia="Times New Roman" w:hAnsi="STIX" w:cs="STIX MathJax Main"/>
                <w:b/>
                <w:sz w:val="18"/>
                <w:szCs w:val="20"/>
              </w:rPr>
              <w:t>m</w:t>
            </w:r>
            <w:r w:rsidRPr="00CA6733">
              <w:rPr>
                <w:rFonts w:ascii="STIX" w:eastAsia="Times New Roman" w:hAnsi="STIX" w:cs="STIX MathJax Main"/>
                <w:b/>
                <w:sz w:val="18"/>
                <w:szCs w:val="20"/>
                <w:vertAlign w:val="superscript"/>
              </w:rPr>
              <w:t>3</w:t>
            </w:r>
          </w:p>
        </w:tc>
        <w:tc>
          <w:tcPr>
            <w:tcW w:w="846" w:type="dxa"/>
            <w:tcBorders>
              <w:top w:val="single" w:sz="12" w:space="0" w:color="auto"/>
              <w:left w:val="nil"/>
              <w:bottom w:val="single" w:sz="4" w:space="0" w:color="auto"/>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b/>
                <w:sz w:val="18"/>
                <w:szCs w:val="20"/>
              </w:rPr>
            </w:pPr>
            <w:r w:rsidRPr="00CA6733">
              <w:rPr>
                <w:rFonts w:ascii="STIX" w:eastAsia="Times New Roman" w:hAnsi="STIX" w:cs="STIX MathJax Main"/>
                <w:b/>
                <w:i/>
                <w:sz w:val="18"/>
                <w:szCs w:val="20"/>
              </w:rPr>
              <w:t>A</w:t>
            </w:r>
            <w:r w:rsidRPr="00CA6733">
              <w:rPr>
                <w:rFonts w:ascii="STIX" w:eastAsia="Times New Roman" w:hAnsi="STIX" w:cs="STIX MathJax Main"/>
                <w:b/>
                <w:i/>
                <w:sz w:val="18"/>
                <w:szCs w:val="20"/>
                <w:vertAlign w:val="subscript"/>
              </w:rPr>
              <w:t>s</w:t>
            </w:r>
            <w:r w:rsidRPr="00CA6733">
              <w:rPr>
                <w:rFonts w:ascii="STIX" w:eastAsia="Times New Roman" w:hAnsi="STIX" w:cs="STIX MathJax Main"/>
                <w:b/>
                <w:sz w:val="18"/>
                <w:szCs w:val="20"/>
              </w:rPr>
              <w:t>, m</w:t>
            </w:r>
            <w:r w:rsidRPr="00CA6733">
              <w:rPr>
                <w:rFonts w:ascii="STIX" w:eastAsia="Times New Roman" w:hAnsi="STIX" w:cs="STIX MathJax Main"/>
                <w:b/>
                <w:sz w:val="18"/>
                <w:szCs w:val="20"/>
                <w:vertAlign w:val="superscript"/>
              </w:rPr>
              <w:t>2</w:t>
            </w:r>
          </w:p>
        </w:tc>
        <w:tc>
          <w:tcPr>
            <w:tcW w:w="1106" w:type="dxa"/>
            <w:tcBorders>
              <w:top w:val="single" w:sz="12" w:space="0" w:color="auto"/>
              <w:left w:val="nil"/>
              <w:bottom w:val="single" w:sz="4" w:space="0" w:color="auto"/>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b/>
                <w:sz w:val="18"/>
                <w:szCs w:val="20"/>
              </w:rPr>
            </w:pPr>
            <w:r w:rsidRPr="00CA6733">
              <w:rPr>
                <w:rFonts w:ascii="STIX" w:eastAsia="Times New Roman" w:hAnsi="STIX" w:cs="STIX MathJax Main"/>
                <w:b/>
                <w:i/>
                <w:sz w:val="18"/>
                <w:szCs w:val="20"/>
              </w:rPr>
              <w:t>c</w:t>
            </w:r>
            <w:r w:rsidRPr="00CA6733">
              <w:rPr>
                <w:rFonts w:ascii="Courier New" w:eastAsia="Times New Roman" w:hAnsi="Courier New" w:cs="STIX MathJax Main"/>
                <w:b/>
                <w:sz w:val="18"/>
                <w:szCs w:val="18"/>
              </w:rPr>
              <w:t>×</w:t>
            </w:r>
            <w:r w:rsidRPr="00CA6733">
              <w:rPr>
                <w:rFonts w:ascii="STIX" w:eastAsia="Times New Roman" w:hAnsi="STIX" w:cs="STIX MathJax Main"/>
                <w:b/>
                <w:i/>
                <w:sz w:val="18"/>
                <w:szCs w:val="20"/>
              </w:rPr>
              <w:t>A</w:t>
            </w:r>
            <w:r w:rsidRPr="00CA6733">
              <w:rPr>
                <w:rFonts w:ascii="STIX" w:eastAsia="Times New Roman" w:hAnsi="STIX" w:cs="STIX MathJax Main"/>
                <w:b/>
                <w:i/>
                <w:sz w:val="18"/>
                <w:szCs w:val="20"/>
                <w:vertAlign w:val="subscript"/>
              </w:rPr>
              <w:t>s</w:t>
            </w:r>
          </w:p>
        </w:tc>
      </w:tr>
      <w:tr w:rsidR="00CA6733" w:rsidRPr="00CA6733" w:rsidTr="00FF7247">
        <w:trPr>
          <w:trHeight w:val="255"/>
        </w:trPr>
        <w:tc>
          <w:tcPr>
            <w:tcW w:w="720" w:type="dxa"/>
            <w:tcBorders>
              <w:top w:val="single" w:sz="4" w:space="0" w:color="auto"/>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0</w:t>
            </w:r>
          </w:p>
        </w:tc>
        <w:tc>
          <w:tcPr>
            <w:tcW w:w="1260" w:type="dxa"/>
            <w:tcBorders>
              <w:top w:val="single" w:sz="4" w:space="0" w:color="auto"/>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9817500</w:t>
            </w:r>
          </w:p>
        </w:tc>
        <w:tc>
          <w:tcPr>
            <w:tcW w:w="900" w:type="dxa"/>
            <w:tcBorders>
              <w:top w:val="single" w:sz="4" w:space="0" w:color="auto"/>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10.2</w:t>
            </w:r>
          </w:p>
        </w:tc>
        <w:tc>
          <w:tcPr>
            <w:tcW w:w="846" w:type="dxa"/>
            <w:tcBorders>
              <w:top w:val="single" w:sz="4" w:space="0" w:color="auto"/>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1374450.0</w:t>
            </w:r>
          </w:p>
        </w:tc>
        <w:tc>
          <w:tcPr>
            <w:tcW w:w="1106" w:type="dxa"/>
            <w:tcBorders>
              <w:top w:val="single" w:sz="4" w:space="0" w:color="auto"/>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14019390</w:t>
            </w:r>
          </w:p>
        </w:tc>
      </w:tr>
      <w:tr w:rsidR="00CA6733" w:rsidRPr="00CA6733" w:rsidTr="00FF7247">
        <w:trPr>
          <w:trHeight w:val="255"/>
        </w:trPr>
        <w:tc>
          <w:tcPr>
            <w:tcW w:w="720" w:type="dxa"/>
            <w:tcBorders>
              <w:top w:val="nil"/>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4</w:t>
            </w:r>
          </w:p>
        </w:tc>
        <w:tc>
          <w:tcPr>
            <w:tcW w:w="1260" w:type="dxa"/>
            <w:tcBorders>
              <w:top w:val="nil"/>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5105100</w:t>
            </w:r>
          </w:p>
        </w:tc>
        <w:tc>
          <w:tcPr>
            <w:tcW w:w="900" w:type="dxa"/>
            <w:tcBorders>
              <w:top w:val="nil"/>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8.5</w:t>
            </w:r>
          </w:p>
        </w:tc>
        <w:tc>
          <w:tcPr>
            <w:tcW w:w="846" w:type="dxa"/>
            <w:tcBorders>
              <w:top w:val="nil"/>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981750.0</w:t>
            </w:r>
          </w:p>
        </w:tc>
        <w:tc>
          <w:tcPr>
            <w:tcW w:w="1106" w:type="dxa"/>
            <w:tcBorders>
              <w:top w:val="nil"/>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8344875</w:t>
            </w:r>
          </w:p>
        </w:tc>
      </w:tr>
      <w:tr w:rsidR="00CA6733" w:rsidRPr="00CA6733" w:rsidTr="00FF7247">
        <w:trPr>
          <w:trHeight w:val="255"/>
        </w:trPr>
        <w:tc>
          <w:tcPr>
            <w:tcW w:w="720" w:type="dxa"/>
            <w:tcBorders>
              <w:top w:val="nil"/>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8</w:t>
            </w:r>
          </w:p>
        </w:tc>
        <w:tc>
          <w:tcPr>
            <w:tcW w:w="1260" w:type="dxa"/>
            <w:tcBorders>
              <w:top w:val="nil"/>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1963500</w:t>
            </w:r>
          </w:p>
        </w:tc>
        <w:tc>
          <w:tcPr>
            <w:tcW w:w="900" w:type="dxa"/>
            <w:tcBorders>
              <w:top w:val="nil"/>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7.4</w:t>
            </w:r>
          </w:p>
        </w:tc>
        <w:tc>
          <w:tcPr>
            <w:tcW w:w="846" w:type="dxa"/>
            <w:tcBorders>
              <w:top w:val="nil"/>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589050.0</w:t>
            </w:r>
          </w:p>
        </w:tc>
        <w:tc>
          <w:tcPr>
            <w:tcW w:w="1106" w:type="dxa"/>
            <w:tcBorders>
              <w:top w:val="nil"/>
              <w:left w:val="nil"/>
              <w:bottom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4358970</w:t>
            </w:r>
          </w:p>
        </w:tc>
      </w:tr>
      <w:tr w:rsidR="00CA6733" w:rsidRPr="00CA6733" w:rsidTr="00FF7247">
        <w:trPr>
          <w:trHeight w:val="255"/>
        </w:trPr>
        <w:tc>
          <w:tcPr>
            <w:tcW w:w="720" w:type="dxa"/>
            <w:tcBorders>
              <w:top w:val="nil"/>
              <w:left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12</w:t>
            </w:r>
          </w:p>
        </w:tc>
        <w:tc>
          <w:tcPr>
            <w:tcW w:w="1260" w:type="dxa"/>
            <w:tcBorders>
              <w:top w:val="nil"/>
              <w:left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392700</w:t>
            </w:r>
          </w:p>
        </w:tc>
        <w:tc>
          <w:tcPr>
            <w:tcW w:w="900" w:type="dxa"/>
            <w:tcBorders>
              <w:top w:val="nil"/>
              <w:left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5.2</w:t>
            </w:r>
          </w:p>
        </w:tc>
        <w:tc>
          <w:tcPr>
            <w:tcW w:w="846" w:type="dxa"/>
            <w:tcBorders>
              <w:top w:val="nil"/>
              <w:left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245437.5</w:t>
            </w:r>
          </w:p>
        </w:tc>
        <w:tc>
          <w:tcPr>
            <w:tcW w:w="1106" w:type="dxa"/>
            <w:tcBorders>
              <w:top w:val="nil"/>
              <w:left w:val="nil"/>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1276275</w:t>
            </w:r>
          </w:p>
        </w:tc>
      </w:tr>
      <w:tr w:rsidR="00CA6733" w:rsidRPr="00CA6733" w:rsidTr="00FF7247">
        <w:trPr>
          <w:trHeight w:val="255"/>
        </w:trPr>
        <w:tc>
          <w:tcPr>
            <w:tcW w:w="720" w:type="dxa"/>
            <w:tcBorders>
              <w:top w:val="nil"/>
              <w:left w:val="nil"/>
              <w:bottom w:val="single" w:sz="12" w:space="0" w:color="auto"/>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16</w:t>
            </w:r>
          </w:p>
        </w:tc>
        <w:tc>
          <w:tcPr>
            <w:tcW w:w="1260" w:type="dxa"/>
            <w:tcBorders>
              <w:top w:val="nil"/>
              <w:left w:val="nil"/>
              <w:bottom w:val="single" w:sz="12" w:space="0" w:color="auto"/>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0</w:t>
            </w:r>
          </w:p>
        </w:tc>
        <w:tc>
          <w:tcPr>
            <w:tcW w:w="900" w:type="dxa"/>
            <w:tcBorders>
              <w:top w:val="nil"/>
              <w:left w:val="nil"/>
              <w:bottom w:val="single" w:sz="12" w:space="0" w:color="auto"/>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4.1</w:t>
            </w:r>
          </w:p>
        </w:tc>
        <w:tc>
          <w:tcPr>
            <w:tcW w:w="846" w:type="dxa"/>
            <w:tcBorders>
              <w:top w:val="nil"/>
              <w:left w:val="nil"/>
              <w:bottom w:val="single" w:sz="12" w:space="0" w:color="auto"/>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0</w:t>
            </w:r>
          </w:p>
        </w:tc>
        <w:tc>
          <w:tcPr>
            <w:tcW w:w="1106" w:type="dxa"/>
            <w:tcBorders>
              <w:top w:val="nil"/>
              <w:left w:val="nil"/>
              <w:bottom w:val="single" w:sz="12" w:space="0" w:color="auto"/>
              <w:right w:val="nil"/>
            </w:tcBorders>
            <w:noWrap/>
            <w:vAlign w:val="bottom"/>
          </w:tcPr>
          <w:p w:rsidR="00CA6733" w:rsidRPr="00CA6733" w:rsidRDefault="00CA6733" w:rsidP="00CA6733">
            <w:pPr>
              <w:spacing w:after="0" w:line="240" w:lineRule="auto"/>
              <w:rPr>
                <w:rFonts w:ascii="STIX MathJax Main" w:eastAsia="Times New Roman" w:hAnsi="STIX MathJax Main" w:cs="STIX MathJax Main"/>
                <w:sz w:val="18"/>
                <w:szCs w:val="20"/>
              </w:rPr>
            </w:pPr>
            <w:r w:rsidRPr="00CA6733">
              <w:rPr>
                <w:rFonts w:ascii="STIX" w:eastAsia="Times New Roman" w:hAnsi="STIX" w:cs="STIX MathJax Main"/>
                <w:sz w:val="18"/>
                <w:szCs w:val="20"/>
              </w:rPr>
              <w:t>0</w:t>
            </w:r>
          </w:p>
        </w:tc>
      </w:tr>
    </w:tbl>
    <w:p w:rsidR="00CA6733" w:rsidRPr="00CA6733" w:rsidRDefault="00CA6733" w:rsidP="00CA6733">
      <w:pPr>
        <w:spacing w:after="0" w:line="240" w:lineRule="auto"/>
        <w:rPr>
          <w:rFonts w:ascii="STIX" w:eastAsia="Times New Roman" w:hAnsi="STIX"/>
          <w:sz w:val="20"/>
          <w:szCs w:val="24"/>
        </w:rPr>
      </w:pPr>
    </w:p>
    <w:p w:rsidR="00CA6733" w:rsidRDefault="00CA6733" w:rsidP="00CA6733">
      <w:pPr>
        <w:spacing w:after="0" w:line="240" w:lineRule="auto"/>
        <w:rPr>
          <w:rFonts w:ascii="STIX" w:hAnsi="STIX" w:cs="STIX"/>
          <w:i/>
          <w:sz w:val="20"/>
          <w:szCs w:val="20"/>
        </w:rPr>
      </w:pPr>
    </w:p>
    <w:p w:rsidR="00CA6733" w:rsidRDefault="00CA6733" w:rsidP="00CA6733">
      <w:pPr>
        <w:spacing w:after="0" w:line="240" w:lineRule="auto"/>
        <w:rPr>
          <w:rFonts w:ascii="STIX" w:hAnsi="STIX" w:cs="STIX"/>
          <w:i/>
          <w:sz w:val="20"/>
          <w:szCs w:val="20"/>
        </w:rPr>
      </w:pPr>
    </w:p>
    <w:p w:rsidR="00CA6733" w:rsidRDefault="00CA6733" w:rsidP="00CA6733">
      <w:pPr>
        <w:spacing w:after="0" w:line="240" w:lineRule="auto"/>
        <w:rPr>
          <w:rFonts w:ascii="STIX" w:hAnsi="STIX" w:cs="STIX"/>
          <w:i/>
          <w:sz w:val="20"/>
          <w:szCs w:val="20"/>
        </w:rPr>
        <w:sectPr w:rsidR="00CA6733"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A6733" w:rsidRPr="00CA6733" w:rsidRDefault="00CA6733" w:rsidP="00CA6733">
      <w:pPr>
        <w:spacing w:after="0" w:line="240" w:lineRule="auto"/>
        <w:rPr>
          <w:rFonts w:ascii="STIX" w:eastAsia="Times New Roman" w:hAnsi="STIX"/>
          <w:sz w:val="20"/>
          <w:szCs w:val="24"/>
        </w:rPr>
      </w:pPr>
      <w:r w:rsidRPr="00CA6733">
        <w:rPr>
          <w:rFonts w:ascii="STIX" w:eastAsia="Times New Roman" w:hAnsi="STIX"/>
          <w:sz w:val="20"/>
          <w:szCs w:val="24"/>
        </w:rPr>
        <w:t>The necessary integrals can then be evaluated with the multi</w:t>
      </w:r>
      <w:r w:rsidRPr="00CA6733">
        <w:rPr>
          <w:rFonts w:ascii="STIX" w:eastAsia="Times New Roman" w:hAnsi="STIX" w:cs="STIX MathJax Main"/>
          <w:sz w:val="20"/>
          <w:szCs w:val="24"/>
        </w:rPr>
        <w:t>-</w:t>
      </w:r>
      <w:r w:rsidRPr="00CA6733">
        <w:rPr>
          <w:rFonts w:ascii="STIX" w:eastAsia="Times New Roman" w:hAnsi="STIX"/>
          <w:sz w:val="20"/>
          <w:szCs w:val="24"/>
        </w:rPr>
        <w:t>segment Simpson’s 1</w:t>
      </w:r>
      <w:r w:rsidRPr="00CA6733">
        <w:rPr>
          <w:rFonts w:ascii="Courier New" w:eastAsia="Times New Roman" w:hAnsi="Courier New"/>
          <w:sz w:val="20"/>
          <w:szCs w:val="24"/>
        </w:rPr>
        <w:t>/</w:t>
      </w:r>
      <w:r w:rsidRPr="00CA6733">
        <w:rPr>
          <w:rFonts w:ascii="STIX" w:eastAsia="Times New Roman" w:hAnsi="STIX"/>
          <w:sz w:val="20"/>
          <w:szCs w:val="24"/>
        </w:rPr>
        <w:t>3 rule,</w:t>
      </w:r>
    </w:p>
    <w:p w:rsidR="00CA6733" w:rsidRPr="00CA6733" w:rsidRDefault="00CA6733" w:rsidP="00CA6733">
      <w:pPr>
        <w:spacing w:after="0" w:line="240" w:lineRule="auto"/>
        <w:rPr>
          <w:rFonts w:ascii="STIX" w:eastAsia="Times New Roman" w:hAnsi="STIX"/>
          <w:sz w:val="20"/>
          <w:szCs w:val="24"/>
        </w:rPr>
      </w:pPr>
    </w:p>
    <w:p w:rsidR="00CA6733" w:rsidRPr="00CA6733" w:rsidRDefault="00CA6733" w:rsidP="00CA6733">
      <w:pPr>
        <w:spacing w:after="0" w:line="240" w:lineRule="auto"/>
        <w:rPr>
          <w:rFonts w:ascii="STIX" w:eastAsia="Times New Roman" w:hAnsi="STIX"/>
          <w:sz w:val="20"/>
        </w:rPr>
      </w:pPr>
      <w:r w:rsidRPr="00CA6733">
        <w:rPr>
          <w:rFonts w:ascii="STIX" w:eastAsia="Times New Roman" w:hAnsi="STIX"/>
          <w:position w:val="-24"/>
          <w:sz w:val="20"/>
          <w:szCs w:val="24"/>
        </w:rPr>
        <w:object w:dxaOrig="8760" w:dyaOrig="639">
          <v:shape id="_x0000_i4414" type="#_x0000_t75" style="width:438pt;height:32.25pt" o:ole="">
            <v:imagedata r:id="rId19" o:title=""/>
          </v:shape>
          <o:OLEObject Type="Embed" ProgID="Equation.DSMT4" ShapeID="_x0000_i4414" DrawAspect="Content" ObjectID="_1552487143" r:id="rId20"/>
        </w:object>
      </w:r>
    </w:p>
    <w:p w:rsidR="00CA6733" w:rsidRPr="00CA6733" w:rsidRDefault="00CA6733" w:rsidP="00CA6733">
      <w:pPr>
        <w:spacing w:after="0" w:line="240" w:lineRule="auto"/>
        <w:rPr>
          <w:rFonts w:ascii="STIX" w:eastAsia="Times New Roman" w:hAnsi="STIX"/>
          <w:sz w:val="20"/>
          <w:szCs w:val="24"/>
        </w:rPr>
      </w:pPr>
    </w:p>
    <w:p w:rsidR="00CA6733" w:rsidRPr="00CA6733" w:rsidRDefault="00CA6733" w:rsidP="00CA6733">
      <w:pPr>
        <w:spacing w:after="0" w:line="240" w:lineRule="auto"/>
        <w:rPr>
          <w:rFonts w:ascii="STIX" w:eastAsia="Times New Roman" w:hAnsi="STIX"/>
          <w:sz w:val="20"/>
        </w:rPr>
      </w:pPr>
      <w:r w:rsidRPr="00CA6733">
        <w:rPr>
          <w:rFonts w:ascii="STIX" w:eastAsia="Times New Roman" w:hAnsi="STIX"/>
          <w:position w:val="-24"/>
          <w:sz w:val="20"/>
          <w:szCs w:val="24"/>
        </w:rPr>
        <w:object w:dxaOrig="9560" w:dyaOrig="639">
          <v:shape id="_x0000_i4415" type="#_x0000_t75" style="width:477.75pt;height:32.25pt" o:ole="">
            <v:imagedata r:id="rId21" o:title=""/>
          </v:shape>
          <o:OLEObject Type="Embed" ProgID="Equation.DSMT4" ShapeID="_x0000_i4415" DrawAspect="Content" ObjectID="_1552487144" r:id="rId22"/>
        </w:object>
      </w:r>
    </w:p>
    <w:p w:rsidR="00CA6733" w:rsidRPr="00CA6733" w:rsidRDefault="00CA6733" w:rsidP="00CA6733">
      <w:pPr>
        <w:spacing w:after="0" w:line="240" w:lineRule="auto"/>
        <w:rPr>
          <w:rFonts w:ascii="STIX" w:eastAsia="Times New Roman" w:hAnsi="STIX"/>
          <w:sz w:val="20"/>
          <w:szCs w:val="24"/>
        </w:rPr>
      </w:pPr>
    </w:p>
    <w:p w:rsidR="00CA6733" w:rsidRPr="00CA6733" w:rsidRDefault="00CA6733" w:rsidP="00CA6733">
      <w:pPr>
        <w:spacing w:after="0" w:line="240" w:lineRule="auto"/>
        <w:rPr>
          <w:rFonts w:ascii="STIX" w:eastAsia="Times New Roman" w:hAnsi="STIX"/>
          <w:sz w:val="20"/>
          <w:szCs w:val="24"/>
        </w:rPr>
      </w:pPr>
      <w:r w:rsidRPr="00CA6733">
        <w:rPr>
          <w:rFonts w:ascii="STIX" w:eastAsia="Times New Roman" w:hAnsi="STIX"/>
          <w:sz w:val="20"/>
          <w:szCs w:val="24"/>
        </w:rPr>
        <w:t>The average concentration can then be computed as</w:t>
      </w:r>
    </w:p>
    <w:p w:rsidR="00CA6733" w:rsidRPr="00CA6733" w:rsidRDefault="00CA6733" w:rsidP="00CA6733">
      <w:pPr>
        <w:spacing w:after="0" w:line="240" w:lineRule="auto"/>
        <w:rPr>
          <w:rFonts w:ascii="STIX" w:eastAsia="Times New Roman" w:hAnsi="STIX"/>
          <w:sz w:val="20"/>
        </w:rPr>
      </w:pPr>
      <w:r w:rsidRPr="00CA6733">
        <w:rPr>
          <w:rFonts w:ascii="STIX" w:eastAsia="Times New Roman" w:hAnsi="STIX"/>
          <w:sz w:val="20"/>
        </w:rPr>
        <w:t xml:space="preserve"> </w:t>
      </w:r>
    </w:p>
    <w:p w:rsidR="00CA6733" w:rsidRPr="00CA6733" w:rsidRDefault="00CA6733" w:rsidP="00CA6733">
      <w:pPr>
        <w:spacing w:after="0" w:line="240" w:lineRule="auto"/>
        <w:rPr>
          <w:rFonts w:ascii="STIX" w:eastAsia="Times New Roman" w:hAnsi="STIX"/>
          <w:sz w:val="20"/>
        </w:rPr>
      </w:pPr>
      <w:r w:rsidRPr="00CA6733">
        <w:rPr>
          <w:rFonts w:ascii="STIX" w:eastAsia="Times New Roman" w:hAnsi="STIX"/>
          <w:position w:val="-44"/>
          <w:sz w:val="20"/>
          <w:szCs w:val="24"/>
        </w:rPr>
        <w:object w:dxaOrig="4780" w:dyaOrig="999">
          <v:shape id="_x0000_i4416" type="#_x0000_t75" style="width:239.25pt;height:50.25pt" o:ole="">
            <v:imagedata r:id="rId23" o:title=""/>
          </v:shape>
          <o:OLEObject Type="Embed" ProgID="Equation.DSMT4" ShapeID="_x0000_i4416" DrawAspect="Content" ObjectID="_1552487145" r:id="rId24"/>
        </w:object>
      </w:r>
    </w:p>
    <w:p w:rsidR="00CA6733" w:rsidRPr="00CA6733" w:rsidRDefault="00CA6733" w:rsidP="00CA6733">
      <w:pPr>
        <w:spacing w:after="0" w:line="240" w:lineRule="auto"/>
        <w:rPr>
          <w:rFonts w:ascii="STIX" w:eastAsia="Times New Roman" w:hAnsi="STIX"/>
          <w:sz w:val="20"/>
        </w:rPr>
      </w:pPr>
    </w:p>
    <w:p w:rsidR="00696EAA" w:rsidRDefault="00696EAA" w:rsidP="00CA6733">
      <w:pPr>
        <w:spacing w:after="0" w:line="240" w:lineRule="auto"/>
        <w:rPr>
          <w:rFonts w:ascii="STIX" w:eastAsia="Times New Roman" w:hAnsi="STIX"/>
          <w:sz w:val="20"/>
          <w:szCs w:val="24"/>
        </w:rPr>
      </w:pPr>
    </w:p>
    <w:sectPr w:rsidR="00696EAA"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AC9D3-3BE0-4413-BD6C-B5BA2744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206</Words>
  <Characters>1180</Characters>
  <Application>Microsoft Office Word</Application>
  <DocSecurity>0</DocSecurity>
  <Lines>9</Lines>
  <Paragraphs>2</Paragraphs>
  <ScaleCrop>false</ScaleCrop>
  <Company/>
  <LinksUpToDate>false</LinksUpToDate>
  <CharactersWithSpaces>1384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2017-03-31T19:19:00Z</dcterms:created>
  <dcterms:modified xsi:type="dcterms:W3CDTF">2017-03-31T19:19:00Z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