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CB14CB">
        <w:rPr>
          <w:b/>
          <w:noProof/>
          <w:sz w:val="20"/>
          <w:szCs w:val="20"/>
        </w:rPr>
        <w:t>26</w:t>
      </w:r>
    </w:p>
    <w:p w:rsidR="005375C4" w:rsidRDefault="005375C4" w:rsidP="005375C4">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sz w:val="20"/>
          <w:szCs w:val="24"/>
        </w:rPr>
        <w:t>For the equispaced data, we can use the second</w:t>
      </w:r>
      <w:r w:rsidRPr="00CB14CB">
        <w:rPr>
          <w:rFonts w:ascii="STIX" w:eastAsia="Times New Roman" w:hAnsi="STIX" w:cs="STIX MathJax Main"/>
          <w:sz w:val="20"/>
          <w:szCs w:val="24"/>
        </w:rPr>
        <w:t>-</w:t>
      </w:r>
      <w:r w:rsidRPr="00CB14CB">
        <w:rPr>
          <w:rFonts w:ascii="STIX" w:eastAsia="Times New Roman" w:hAnsi="STIX"/>
          <w:sz w:val="20"/>
          <w:szCs w:val="24"/>
        </w:rPr>
        <w:t>order finite divided difference formulas from Figs. 21.3 through 21.5. For example, for the first point, we can use</w: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position w:val="-24"/>
          <w:sz w:val="20"/>
          <w:szCs w:val="24"/>
        </w:rPr>
        <w:object w:dxaOrig="3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84" type="#_x0000_t75" style="width:159pt;height:32.25pt" o:ole="">
            <v:imagedata r:id="rId8" o:title=""/>
          </v:shape>
          <o:OLEObject Type="Embed" ProgID="Equation.DSMT4" ShapeID="_x0000_i4484" DrawAspect="Content" ObjectID="_1552487180" r:id="rId9"/>
        </w:objec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sz w:val="20"/>
          <w:szCs w:val="24"/>
        </w:rPr>
        <w:t xml:space="preserve">For the intermediate equispaced points, we can use centered differences. For example, for the second point </w: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position w:val="-24"/>
          <w:sz w:val="20"/>
          <w:szCs w:val="24"/>
        </w:rPr>
        <w:object w:dxaOrig="1860" w:dyaOrig="639">
          <v:shape id="_x0000_i4485" type="#_x0000_t75" style="width:93pt;height:32.25pt" o:ole="">
            <v:imagedata r:id="rId10" o:title=""/>
          </v:shape>
          <o:OLEObject Type="Embed" ProgID="Equation.DSMT4" ShapeID="_x0000_i4485" DrawAspect="Content" ObjectID="_1552487181" r:id="rId11"/>
        </w:objec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sz w:val="20"/>
          <w:szCs w:val="24"/>
        </w:rPr>
        <w:t>For the last point, we can use a backward difference</w: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position w:val="-24"/>
          <w:sz w:val="20"/>
          <w:szCs w:val="24"/>
        </w:rPr>
        <w:object w:dxaOrig="2880" w:dyaOrig="639">
          <v:shape id="_x0000_i4486" type="#_x0000_t75" style="width:2in;height:32.25pt" o:ole="">
            <v:imagedata r:id="rId12" o:title=""/>
          </v:shape>
          <o:OLEObject Type="Embed" ProgID="Equation.DSMT4" ShapeID="_x0000_i4486" DrawAspect="Content" ObjectID="_1552487182" r:id="rId13"/>
        </w:objec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sz w:val="20"/>
        </w:rPr>
        <w:t xml:space="preserve">One of the points </w:t>
      </w:r>
      <w:r w:rsidRPr="00CB14CB">
        <w:rPr>
          <w:rFonts w:ascii="Courier New" w:eastAsia="Times New Roman" w:hAnsi="Courier New"/>
          <w:sz w:val="20"/>
        </w:rPr>
        <w:t>(</w:t>
      </w:r>
      <w:r w:rsidRPr="00CB14CB">
        <w:rPr>
          <w:rFonts w:ascii="STIX" w:eastAsia="Times New Roman" w:hAnsi="STIX"/>
          <w:i/>
          <w:sz w:val="20"/>
        </w:rPr>
        <w:t>t</w:t>
      </w:r>
      <w:r w:rsidRPr="00CB14CB">
        <w:rPr>
          <w:rFonts w:ascii="STIX" w:eastAsia="Times New Roman" w:hAnsi="STIX"/>
          <w:sz w:val="20"/>
        </w:rPr>
        <w:t xml:space="preserve"> </w:t>
      </w:r>
      <w:r w:rsidRPr="00CB14CB">
        <w:rPr>
          <w:rFonts w:ascii="Courier New" w:eastAsia="Times New Roman" w:hAnsi="Courier New"/>
          <w:sz w:val="20"/>
        </w:rPr>
        <w:t>=</w:t>
      </w:r>
      <w:r w:rsidRPr="00CB14CB">
        <w:rPr>
          <w:rFonts w:ascii="STIX" w:eastAsia="Times New Roman" w:hAnsi="STIX"/>
          <w:sz w:val="20"/>
        </w:rPr>
        <w:t xml:space="preserve"> 0.3</w:t>
      </w:r>
      <w:r w:rsidRPr="00CB14CB">
        <w:rPr>
          <w:rFonts w:ascii="Courier New" w:eastAsia="Times New Roman" w:hAnsi="Courier New"/>
          <w:sz w:val="20"/>
        </w:rPr>
        <w:t>)</w:t>
      </w:r>
      <w:r w:rsidRPr="00CB14CB">
        <w:rPr>
          <w:rFonts w:ascii="STIX" w:eastAsia="Times New Roman" w:hAnsi="STIX"/>
          <w:sz w:val="20"/>
        </w:rPr>
        <w:t xml:space="preserve"> has unequally spaced neighbors. For this point, we can use </w:t>
      </w:r>
      <w:r w:rsidRPr="00CB14CB">
        <w:rPr>
          <w:rFonts w:ascii="STIX" w:eastAsia="Times New Roman" w:hAnsi="STIX"/>
          <w:sz w:val="20"/>
          <w:szCs w:val="24"/>
        </w:rPr>
        <w:t xml:space="preserve">Eq. </w:t>
      </w:r>
      <w:r w:rsidRPr="00CB14CB">
        <w:rPr>
          <w:rFonts w:ascii="Courier New" w:eastAsia="Times New Roman" w:hAnsi="Courier New"/>
          <w:sz w:val="20"/>
          <w:szCs w:val="24"/>
        </w:rPr>
        <w:t>(</w:t>
      </w:r>
      <w:r w:rsidRPr="00CB14CB">
        <w:rPr>
          <w:rFonts w:ascii="STIX" w:eastAsia="Times New Roman" w:hAnsi="STIX"/>
          <w:sz w:val="20"/>
          <w:szCs w:val="24"/>
        </w:rPr>
        <w:t>21.21</w:t>
      </w:r>
      <w:r w:rsidRPr="00CB14CB">
        <w:rPr>
          <w:rFonts w:ascii="Courier New" w:eastAsia="Times New Roman" w:hAnsi="Courier New"/>
          <w:sz w:val="20"/>
          <w:szCs w:val="24"/>
        </w:rPr>
        <w:t>)</w:t>
      </w:r>
      <w:r w:rsidRPr="00CB14CB">
        <w:rPr>
          <w:rFonts w:ascii="STIX" w:eastAsia="Times New Roman" w:hAnsi="STIX"/>
          <w:sz w:val="20"/>
          <w:szCs w:val="24"/>
        </w:rPr>
        <w:t xml:space="preserve"> to compute the derivative as</w: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i/>
          <w:sz w:val="20"/>
          <w:szCs w:val="24"/>
        </w:rPr>
        <w:t>x</w:t>
      </w:r>
      <w:r w:rsidRPr="00CB14CB">
        <w:rPr>
          <w:rFonts w:ascii="STIX" w:eastAsia="Times New Roman" w:hAnsi="STIX"/>
          <w:sz w:val="20"/>
          <w:szCs w:val="24"/>
          <w:vertAlign w:val="subscript"/>
        </w:rPr>
        <w:t>0</w:t>
      </w:r>
      <w:r w:rsidRPr="00CB14CB">
        <w:rPr>
          <w:rFonts w:ascii="STIX" w:eastAsia="Times New Roman" w:hAnsi="STIX"/>
          <w:sz w:val="20"/>
          <w:szCs w:val="24"/>
        </w:rPr>
        <w:t xml:space="preserve"> </w:t>
      </w:r>
      <w:r w:rsidRPr="00CB14CB">
        <w:rPr>
          <w:rFonts w:ascii="Courier New" w:eastAsia="Times New Roman" w:hAnsi="Courier New"/>
          <w:sz w:val="20"/>
          <w:szCs w:val="24"/>
        </w:rPr>
        <w:t>=</w:t>
      </w:r>
      <w:r w:rsidRPr="00CB14CB">
        <w:rPr>
          <w:rFonts w:ascii="STIX" w:eastAsia="Times New Roman" w:hAnsi="STIX"/>
          <w:sz w:val="20"/>
          <w:szCs w:val="24"/>
        </w:rPr>
        <w:t xml:space="preserve"> 0.2</w:t>
      </w:r>
      <w:r w:rsidRPr="00CB14CB">
        <w:rPr>
          <w:rFonts w:ascii="STIX" w:eastAsia="Times New Roman" w:hAnsi="STIX"/>
          <w:sz w:val="20"/>
          <w:szCs w:val="24"/>
        </w:rPr>
        <w:tab/>
        <w:t xml:space="preserve">      </w:t>
      </w:r>
      <w:r w:rsidRPr="00CB14CB">
        <w:rPr>
          <w:rFonts w:ascii="STIX" w:eastAsia="Times New Roman" w:hAnsi="STIX"/>
          <w:i/>
          <w:sz w:val="20"/>
          <w:szCs w:val="24"/>
        </w:rPr>
        <w:t>f</w:t>
      </w:r>
      <w:r w:rsidRPr="00CB14CB">
        <w:rPr>
          <w:rFonts w:ascii="Courier New" w:eastAsia="Times New Roman" w:hAnsi="Courier New"/>
          <w:sz w:val="20"/>
          <w:szCs w:val="24"/>
        </w:rPr>
        <w:t>(</w:t>
      </w:r>
      <w:r w:rsidRPr="00CB14CB">
        <w:rPr>
          <w:rFonts w:ascii="STIX" w:eastAsia="Times New Roman" w:hAnsi="STIX"/>
          <w:i/>
          <w:sz w:val="20"/>
          <w:szCs w:val="24"/>
        </w:rPr>
        <w:t>x</w:t>
      </w:r>
      <w:r w:rsidRPr="00CB14CB">
        <w:rPr>
          <w:rFonts w:ascii="STIX" w:eastAsia="Times New Roman" w:hAnsi="STIX"/>
          <w:sz w:val="20"/>
          <w:szCs w:val="24"/>
          <w:vertAlign w:val="subscript"/>
        </w:rPr>
        <w:t>0</w:t>
      </w:r>
      <w:r w:rsidRPr="00CB14CB">
        <w:rPr>
          <w:rFonts w:ascii="Courier New" w:eastAsia="Times New Roman" w:hAnsi="Courier New"/>
          <w:sz w:val="20"/>
          <w:szCs w:val="24"/>
        </w:rPr>
        <w:t>)</w:t>
      </w:r>
      <w:r w:rsidRPr="00CB14CB">
        <w:rPr>
          <w:rFonts w:ascii="STIX" w:eastAsia="Times New Roman" w:hAnsi="STIX"/>
          <w:sz w:val="20"/>
          <w:szCs w:val="24"/>
        </w:rPr>
        <w:t xml:space="preserve"> </w:t>
      </w:r>
      <w:r w:rsidRPr="00CB14CB">
        <w:rPr>
          <w:rFonts w:ascii="Courier New" w:eastAsia="Times New Roman" w:hAnsi="Courier New"/>
          <w:sz w:val="20"/>
          <w:szCs w:val="24"/>
        </w:rPr>
        <w:t>=</w:t>
      </w:r>
      <w:r w:rsidRPr="00CB14CB">
        <w:rPr>
          <w:rFonts w:ascii="STIX" w:eastAsia="Times New Roman" w:hAnsi="STIX"/>
          <w:sz w:val="20"/>
          <w:szCs w:val="24"/>
        </w:rPr>
        <w:t xml:space="preserve"> 0.32</w:t>
      </w: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i/>
          <w:sz w:val="20"/>
          <w:szCs w:val="24"/>
        </w:rPr>
        <w:t>x</w:t>
      </w:r>
      <w:r w:rsidRPr="00CB14CB">
        <w:rPr>
          <w:rFonts w:ascii="STIX" w:eastAsia="Times New Roman" w:hAnsi="STIX"/>
          <w:sz w:val="20"/>
          <w:szCs w:val="24"/>
          <w:vertAlign w:val="subscript"/>
        </w:rPr>
        <w:t>1</w:t>
      </w:r>
      <w:r w:rsidRPr="00CB14CB">
        <w:rPr>
          <w:rFonts w:ascii="STIX" w:eastAsia="Times New Roman" w:hAnsi="STIX"/>
          <w:sz w:val="20"/>
          <w:szCs w:val="24"/>
        </w:rPr>
        <w:t xml:space="preserve"> </w:t>
      </w:r>
      <w:r w:rsidRPr="00CB14CB">
        <w:rPr>
          <w:rFonts w:ascii="Courier New" w:eastAsia="Times New Roman" w:hAnsi="Courier New"/>
          <w:sz w:val="20"/>
          <w:szCs w:val="24"/>
        </w:rPr>
        <w:t>=</w:t>
      </w:r>
      <w:r w:rsidRPr="00CB14CB">
        <w:rPr>
          <w:rFonts w:ascii="STIX" w:eastAsia="Times New Roman" w:hAnsi="STIX"/>
          <w:sz w:val="20"/>
          <w:szCs w:val="24"/>
        </w:rPr>
        <w:t xml:space="preserve"> 0.3</w:t>
      </w:r>
      <w:r w:rsidRPr="00CB14CB">
        <w:rPr>
          <w:rFonts w:ascii="STIX" w:eastAsia="Times New Roman" w:hAnsi="STIX"/>
          <w:sz w:val="20"/>
          <w:szCs w:val="24"/>
        </w:rPr>
        <w:tab/>
        <w:t xml:space="preserve">      </w:t>
      </w:r>
      <w:r w:rsidRPr="00CB14CB">
        <w:rPr>
          <w:rFonts w:ascii="STIX" w:eastAsia="Times New Roman" w:hAnsi="STIX"/>
          <w:i/>
          <w:sz w:val="20"/>
          <w:szCs w:val="24"/>
        </w:rPr>
        <w:t>f</w:t>
      </w:r>
      <w:r w:rsidRPr="00CB14CB">
        <w:rPr>
          <w:rFonts w:ascii="Courier New" w:eastAsia="Times New Roman" w:hAnsi="Courier New"/>
          <w:sz w:val="20"/>
          <w:szCs w:val="24"/>
        </w:rPr>
        <w:t>(</w:t>
      </w:r>
      <w:r w:rsidRPr="00CB14CB">
        <w:rPr>
          <w:rFonts w:ascii="STIX" w:eastAsia="Times New Roman" w:hAnsi="STIX"/>
          <w:i/>
          <w:sz w:val="20"/>
          <w:szCs w:val="24"/>
        </w:rPr>
        <w:t>x</w:t>
      </w:r>
      <w:r w:rsidRPr="00CB14CB">
        <w:rPr>
          <w:rFonts w:ascii="STIX" w:eastAsia="Times New Roman" w:hAnsi="STIX"/>
          <w:sz w:val="20"/>
          <w:szCs w:val="24"/>
          <w:vertAlign w:val="subscript"/>
        </w:rPr>
        <w:t>1</w:t>
      </w:r>
      <w:r w:rsidRPr="00CB14CB">
        <w:rPr>
          <w:rFonts w:ascii="Courier New" w:eastAsia="Times New Roman" w:hAnsi="Courier New"/>
          <w:sz w:val="20"/>
          <w:szCs w:val="24"/>
        </w:rPr>
        <w:t>)</w:t>
      </w:r>
      <w:r w:rsidRPr="00CB14CB">
        <w:rPr>
          <w:rFonts w:ascii="STIX" w:eastAsia="Times New Roman" w:hAnsi="STIX"/>
          <w:sz w:val="20"/>
          <w:szCs w:val="24"/>
        </w:rPr>
        <w:t xml:space="preserve"> </w:t>
      </w:r>
      <w:r w:rsidRPr="00CB14CB">
        <w:rPr>
          <w:rFonts w:ascii="Courier New" w:eastAsia="Times New Roman" w:hAnsi="Courier New"/>
          <w:sz w:val="20"/>
          <w:szCs w:val="24"/>
        </w:rPr>
        <w:t>=</w:t>
      </w:r>
      <w:r w:rsidRPr="00CB14CB">
        <w:rPr>
          <w:rFonts w:ascii="STIX" w:eastAsia="Times New Roman" w:hAnsi="STIX"/>
          <w:sz w:val="20"/>
          <w:szCs w:val="24"/>
        </w:rPr>
        <w:t xml:space="preserve"> 0.56</w:t>
      </w: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i/>
          <w:sz w:val="20"/>
          <w:szCs w:val="24"/>
        </w:rPr>
        <w:t>x</w:t>
      </w:r>
      <w:r w:rsidRPr="00CB14CB">
        <w:rPr>
          <w:rFonts w:ascii="STIX" w:eastAsia="Times New Roman" w:hAnsi="STIX"/>
          <w:sz w:val="20"/>
          <w:szCs w:val="24"/>
          <w:vertAlign w:val="subscript"/>
        </w:rPr>
        <w:t>2</w:t>
      </w:r>
      <w:r w:rsidRPr="00CB14CB">
        <w:rPr>
          <w:rFonts w:ascii="STIX" w:eastAsia="Times New Roman" w:hAnsi="STIX"/>
          <w:sz w:val="20"/>
          <w:szCs w:val="24"/>
        </w:rPr>
        <w:t xml:space="preserve"> </w:t>
      </w:r>
      <w:r w:rsidRPr="00CB14CB">
        <w:rPr>
          <w:rFonts w:ascii="Courier New" w:eastAsia="Times New Roman" w:hAnsi="Courier New"/>
          <w:sz w:val="20"/>
          <w:szCs w:val="24"/>
        </w:rPr>
        <w:t>=</w:t>
      </w:r>
      <w:r w:rsidRPr="00CB14CB">
        <w:rPr>
          <w:rFonts w:ascii="STIX" w:eastAsia="Times New Roman" w:hAnsi="STIX"/>
          <w:sz w:val="20"/>
          <w:szCs w:val="24"/>
        </w:rPr>
        <w:t xml:space="preserve"> 0.5</w:t>
      </w:r>
      <w:r w:rsidRPr="00CB14CB">
        <w:rPr>
          <w:rFonts w:ascii="STIX" w:eastAsia="Times New Roman" w:hAnsi="STIX"/>
          <w:sz w:val="20"/>
          <w:szCs w:val="24"/>
        </w:rPr>
        <w:tab/>
        <w:t xml:space="preserve">      </w:t>
      </w:r>
      <w:r w:rsidRPr="00CB14CB">
        <w:rPr>
          <w:rFonts w:ascii="STIX" w:eastAsia="Times New Roman" w:hAnsi="STIX"/>
          <w:i/>
          <w:sz w:val="20"/>
          <w:szCs w:val="24"/>
        </w:rPr>
        <w:t>f</w:t>
      </w:r>
      <w:r w:rsidRPr="00CB14CB">
        <w:rPr>
          <w:rFonts w:ascii="Courier New" w:eastAsia="Times New Roman" w:hAnsi="Courier New"/>
          <w:sz w:val="20"/>
          <w:szCs w:val="24"/>
        </w:rPr>
        <w:t>(</w:t>
      </w:r>
      <w:r w:rsidRPr="00CB14CB">
        <w:rPr>
          <w:rFonts w:ascii="STIX" w:eastAsia="Times New Roman" w:hAnsi="STIX"/>
          <w:i/>
          <w:sz w:val="20"/>
          <w:szCs w:val="24"/>
        </w:rPr>
        <w:t>x</w:t>
      </w:r>
      <w:r w:rsidRPr="00CB14CB">
        <w:rPr>
          <w:rFonts w:ascii="STIX" w:eastAsia="Times New Roman" w:hAnsi="STIX"/>
          <w:sz w:val="20"/>
          <w:szCs w:val="24"/>
          <w:vertAlign w:val="subscript"/>
        </w:rPr>
        <w:t>2</w:t>
      </w:r>
      <w:r w:rsidRPr="00CB14CB">
        <w:rPr>
          <w:rFonts w:ascii="Courier New" w:eastAsia="Times New Roman" w:hAnsi="Courier New"/>
          <w:sz w:val="20"/>
          <w:szCs w:val="24"/>
        </w:rPr>
        <w:t>)</w:t>
      </w:r>
      <w:r w:rsidRPr="00CB14CB">
        <w:rPr>
          <w:rFonts w:ascii="STIX" w:eastAsia="Times New Roman" w:hAnsi="STIX"/>
          <w:sz w:val="20"/>
          <w:szCs w:val="24"/>
        </w:rPr>
        <w:t xml:space="preserve"> </w:t>
      </w:r>
      <w:r w:rsidRPr="00CB14CB">
        <w:rPr>
          <w:rFonts w:ascii="Courier New" w:eastAsia="Times New Roman" w:hAnsi="Courier New"/>
          <w:sz w:val="20"/>
          <w:szCs w:val="24"/>
        </w:rPr>
        <w:t>=</w:t>
      </w:r>
      <w:r w:rsidRPr="00CB14CB">
        <w:rPr>
          <w:rFonts w:ascii="STIX" w:eastAsia="Times New Roman" w:hAnsi="STIX"/>
          <w:sz w:val="20"/>
          <w:szCs w:val="24"/>
        </w:rPr>
        <w:t xml:space="preserve"> 0.84</w: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position w:val="-28"/>
          <w:sz w:val="20"/>
          <w:szCs w:val="24"/>
        </w:rPr>
        <w:object w:dxaOrig="9600" w:dyaOrig="680">
          <v:shape id="_x0000_i4487" type="#_x0000_t75" style="width:480pt;height:33.75pt" o:ole="">
            <v:imagedata r:id="rId14" o:title=""/>
          </v:shape>
          <o:OLEObject Type="Embed" ProgID="Equation.DSMT4" ShapeID="_x0000_i4487" DrawAspect="Content" ObjectID="_1552487183" r:id="rId15"/>
        </w:object>
      </w:r>
    </w:p>
    <w:p w:rsidR="00CB14CB" w:rsidRPr="00CB14CB" w:rsidRDefault="00CB14CB" w:rsidP="00CB14CB">
      <w:pPr>
        <w:spacing w:after="0" w:line="240" w:lineRule="auto"/>
        <w:rPr>
          <w:rFonts w:ascii="STIX" w:eastAsia="Times New Roman" w:hAnsi="STIX"/>
          <w:sz w:val="20"/>
          <w:szCs w:val="24"/>
        </w:rPr>
      </w:pPr>
    </w:p>
    <w:p w:rsidR="00CB14CB" w:rsidRPr="00CB14CB" w:rsidRDefault="00CB14CB" w:rsidP="00CB14CB">
      <w:pPr>
        <w:spacing w:after="0" w:line="240" w:lineRule="auto"/>
        <w:rPr>
          <w:rFonts w:ascii="STIX" w:eastAsia="Times New Roman" w:hAnsi="STIX"/>
          <w:sz w:val="20"/>
          <w:szCs w:val="24"/>
        </w:rPr>
      </w:pPr>
      <w:r w:rsidRPr="00CB14CB">
        <w:rPr>
          <w:rFonts w:ascii="STIX" w:eastAsia="Times New Roman" w:hAnsi="STIX"/>
          <w:sz w:val="20"/>
          <w:szCs w:val="24"/>
        </w:rPr>
        <w:t>We can then multiply these derivative estimates by the inductance. All the results are summarized below:</w:t>
      </w:r>
    </w:p>
    <w:p w:rsidR="00CB14CB" w:rsidRPr="00CB14CB" w:rsidRDefault="00CB14CB" w:rsidP="00CB14CB">
      <w:pPr>
        <w:spacing w:after="0" w:line="240" w:lineRule="auto"/>
        <w:rPr>
          <w:rFonts w:ascii="STIX" w:eastAsia="Times New Roman" w:hAnsi="STIX"/>
          <w:sz w:val="20"/>
          <w:szCs w:val="24"/>
        </w:rPr>
      </w:pPr>
    </w:p>
    <w:tbl>
      <w:tblPr>
        <w:tblW w:w="3694" w:type="dxa"/>
        <w:tblInd w:w="468" w:type="dxa"/>
        <w:tblLook w:val="0000"/>
      </w:tblPr>
      <w:tblGrid>
        <w:gridCol w:w="720"/>
        <w:gridCol w:w="872"/>
        <w:gridCol w:w="1051"/>
        <w:gridCol w:w="1051"/>
      </w:tblGrid>
      <w:tr w:rsidR="00CB14CB" w:rsidRPr="00CB14CB" w:rsidTr="00FF7247">
        <w:trPr>
          <w:trHeight w:val="255"/>
        </w:trPr>
        <w:tc>
          <w:tcPr>
            <w:tcW w:w="720" w:type="dxa"/>
            <w:tcBorders>
              <w:top w:val="single" w:sz="12" w:space="0" w:color="auto"/>
              <w:left w:val="nil"/>
              <w:bottom w:val="single" w:sz="4"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b/>
                <w:i/>
                <w:sz w:val="18"/>
                <w:szCs w:val="18"/>
              </w:rPr>
            </w:pPr>
            <w:r w:rsidRPr="00CB14CB">
              <w:rPr>
                <w:rFonts w:ascii="STIX" w:eastAsia="Times New Roman" w:hAnsi="STIX" w:cs="STIX MathJax Main"/>
                <w:b/>
                <w:i/>
                <w:sz w:val="18"/>
                <w:szCs w:val="18"/>
              </w:rPr>
              <w:t>t</w:t>
            </w:r>
          </w:p>
        </w:tc>
        <w:tc>
          <w:tcPr>
            <w:tcW w:w="872" w:type="dxa"/>
            <w:tcBorders>
              <w:top w:val="single" w:sz="12" w:space="0" w:color="auto"/>
              <w:left w:val="nil"/>
              <w:bottom w:val="single" w:sz="4"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b/>
                <w:i/>
                <w:sz w:val="18"/>
                <w:szCs w:val="18"/>
              </w:rPr>
            </w:pPr>
            <w:r w:rsidRPr="00CB14CB">
              <w:rPr>
                <w:rFonts w:ascii="STIX" w:eastAsia="Times New Roman" w:hAnsi="STIX" w:cs="STIX MathJax Main"/>
                <w:b/>
                <w:i/>
                <w:sz w:val="18"/>
                <w:szCs w:val="18"/>
              </w:rPr>
              <w:t>i</w:t>
            </w:r>
          </w:p>
        </w:tc>
        <w:tc>
          <w:tcPr>
            <w:tcW w:w="1051" w:type="dxa"/>
            <w:tcBorders>
              <w:top w:val="single" w:sz="12" w:space="0" w:color="auto"/>
              <w:left w:val="nil"/>
              <w:bottom w:val="single" w:sz="4"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b/>
                <w:sz w:val="18"/>
                <w:szCs w:val="18"/>
              </w:rPr>
            </w:pPr>
            <w:r w:rsidRPr="00CB14CB">
              <w:rPr>
                <w:rFonts w:ascii="STIX" w:eastAsia="Times New Roman" w:hAnsi="STIX" w:cs="STIX MathJax Main"/>
                <w:b/>
                <w:i/>
                <w:sz w:val="18"/>
                <w:szCs w:val="18"/>
              </w:rPr>
              <w:t>di</w:t>
            </w:r>
            <w:r w:rsidRPr="00CB14CB">
              <w:rPr>
                <w:rFonts w:ascii="Courier New" w:eastAsia="Times New Roman" w:hAnsi="Courier New" w:cs="STIX MathJax Main"/>
                <w:b/>
                <w:sz w:val="18"/>
                <w:szCs w:val="18"/>
              </w:rPr>
              <w:t>/</w:t>
            </w:r>
            <w:r w:rsidRPr="00CB14CB">
              <w:rPr>
                <w:rFonts w:ascii="STIX" w:eastAsia="Times New Roman" w:hAnsi="STIX" w:cs="STIX MathJax Main"/>
                <w:b/>
                <w:i/>
                <w:sz w:val="18"/>
                <w:szCs w:val="18"/>
              </w:rPr>
              <w:t>dt</w:t>
            </w:r>
          </w:p>
        </w:tc>
        <w:tc>
          <w:tcPr>
            <w:tcW w:w="1051" w:type="dxa"/>
            <w:tcBorders>
              <w:top w:val="single" w:sz="12" w:space="0" w:color="auto"/>
              <w:left w:val="nil"/>
              <w:bottom w:val="single" w:sz="4"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b/>
                <w:i/>
                <w:sz w:val="18"/>
                <w:szCs w:val="18"/>
              </w:rPr>
            </w:pPr>
            <w:r w:rsidRPr="00CB14CB">
              <w:rPr>
                <w:rFonts w:ascii="STIX" w:eastAsia="Times New Roman" w:hAnsi="STIX" w:cs="STIX MathJax Main"/>
                <w:b/>
                <w:i/>
                <w:sz w:val="18"/>
                <w:szCs w:val="18"/>
              </w:rPr>
              <w:t>V</w:t>
            </w:r>
            <w:r w:rsidRPr="00CB14CB">
              <w:rPr>
                <w:rFonts w:ascii="STIX" w:eastAsia="Times New Roman" w:hAnsi="STIX" w:cs="STIX MathJax Main"/>
                <w:b/>
                <w:i/>
                <w:sz w:val="18"/>
                <w:szCs w:val="18"/>
                <w:vertAlign w:val="subscript"/>
              </w:rPr>
              <w:t>L</w:t>
            </w:r>
          </w:p>
        </w:tc>
      </w:tr>
      <w:tr w:rsidR="00CB14CB" w:rsidRPr="00CB14CB" w:rsidTr="00FF7247">
        <w:trPr>
          <w:trHeight w:val="255"/>
        </w:trPr>
        <w:tc>
          <w:tcPr>
            <w:tcW w:w="720" w:type="dxa"/>
            <w:tcBorders>
              <w:top w:val="single" w:sz="4" w:space="0" w:color="auto"/>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w:t>
            </w:r>
          </w:p>
        </w:tc>
        <w:tc>
          <w:tcPr>
            <w:tcW w:w="872" w:type="dxa"/>
            <w:tcBorders>
              <w:top w:val="single" w:sz="4" w:space="0" w:color="auto"/>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w:t>
            </w:r>
          </w:p>
        </w:tc>
        <w:tc>
          <w:tcPr>
            <w:tcW w:w="1051" w:type="dxa"/>
            <w:tcBorders>
              <w:top w:val="single" w:sz="4" w:space="0" w:color="auto"/>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1.6</w:t>
            </w:r>
          </w:p>
        </w:tc>
        <w:tc>
          <w:tcPr>
            <w:tcW w:w="1051" w:type="dxa"/>
            <w:tcBorders>
              <w:top w:val="single" w:sz="4" w:space="0" w:color="auto"/>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6.4</w:t>
            </w:r>
          </w:p>
        </w:tc>
      </w:tr>
      <w:tr w:rsidR="00CB14CB" w:rsidRPr="00CB14CB" w:rsidTr="00FF7247">
        <w:trPr>
          <w:trHeight w:val="255"/>
        </w:trPr>
        <w:tc>
          <w:tcPr>
            <w:tcW w:w="720"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0.1</w:t>
            </w:r>
          </w:p>
        </w:tc>
        <w:tc>
          <w:tcPr>
            <w:tcW w:w="872"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0.16</w:t>
            </w:r>
          </w:p>
        </w:tc>
        <w:tc>
          <w:tcPr>
            <w:tcW w:w="1051"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1.6</w:t>
            </w:r>
          </w:p>
        </w:tc>
        <w:tc>
          <w:tcPr>
            <w:tcW w:w="1051"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6.4</w:t>
            </w:r>
          </w:p>
        </w:tc>
      </w:tr>
      <w:tr w:rsidR="00CB14CB" w:rsidRPr="00CB14CB" w:rsidTr="00FF7247">
        <w:trPr>
          <w:trHeight w:val="255"/>
        </w:trPr>
        <w:tc>
          <w:tcPr>
            <w:tcW w:w="720"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0.2</w:t>
            </w:r>
          </w:p>
        </w:tc>
        <w:tc>
          <w:tcPr>
            <w:tcW w:w="872"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0.32</w:t>
            </w:r>
          </w:p>
        </w:tc>
        <w:tc>
          <w:tcPr>
            <w:tcW w:w="1051"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2</w:t>
            </w:r>
          </w:p>
        </w:tc>
        <w:tc>
          <w:tcPr>
            <w:tcW w:w="1051"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8</w:t>
            </w:r>
          </w:p>
        </w:tc>
      </w:tr>
      <w:tr w:rsidR="00CB14CB" w:rsidRPr="00CB14CB" w:rsidTr="00FF7247">
        <w:trPr>
          <w:trHeight w:val="255"/>
        </w:trPr>
        <w:tc>
          <w:tcPr>
            <w:tcW w:w="720"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0.3</w:t>
            </w:r>
          </w:p>
        </w:tc>
        <w:tc>
          <w:tcPr>
            <w:tcW w:w="872"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0.56</w:t>
            </w:r>
          </w:p>
        </w:tc>
        <w:tc>
          <w:tcPr>
            <w:tcW w:w="1051"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2.066667</w:t>
            </w:r>
          </w:p>
        </w:tc>
        <w:tc>
          <w:tcPr>
            <w:tcW w:w="1051" w:type="dxa"/>
            <w:tcBorders>
              <w:top w:val="nil"/>
              <w:left w:val="nil"/>
              <w:bottom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8.266667</w:t>
            </w:r>
          </w:p>
        </w:tc>
      </w:tr>
      <w:tr w:rsidR="00CB14CB" w:rsidRPr="00CB14CB" w:rsidTr="00FF7247">
        <w:trPr>
          <w:trHeight w:val="255"/>
        </w:trPr>
        <w:tc>
          <w:tcPr>
            <w:tcW w:w="720" w:type="dxa"/>
            <w:tcBorders>
              <w:top w:val="nil"/>
              <w:left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0.5</w:t>
            </w:r>
          </w:p>
        </w:tc>
        <w:tc>
          <w:tcPr>
            <w:tcW w:w="872" w:type="dxa"/>
            <w:tcBorders>
              <w:top w:val="nil"/>
              <w:left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0.84</w:t>
            </w:r>
          </w:p>
        </w:tc>
        <w:tc>
          <w:tcPr>
            <w:tcW w:w="1051" w:type="dxa"/>
            <w:tcBorders>
              <w:top w:val="nil"/>
              <w:left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3.6</w:t>
            </w:r>
          </w:p>
        </w:tc>
        <w:tc>
          <w:tcPr>
            <w:tcW w:w="1051" w:type="dxa"/>
            <w:tcBorders>
              <w:top w:val="nil"/>
              <w:left w:val="nil"/>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14.4</w:t>
            </w:r>
          </w:p>
        </w:tc>
      </w:tr>
      <w:tr w:rsidR="00CB14CB" w:rsidRPr="00CB14CB" w:rsidTr="00FF7247">
        <w:trPr>
          <w:trHeight w:val="255"/>
        </w:trPr>
        <w:tc>
          <w:tcPr>
            <w:tcW w:w="720" w:type="dxa"/>
            <w:tcBorders>
              <w:top w:val="nil"/>
              <w:left w:val="nil"/>
              <w:bottom w:val="single" w:sz="12"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0.7</w:t>
            </w:r>
          </w:p>
        </w:tc>
        <w:tc>
          <w:tcPr>
            <w:tcW w:w="872" w:type="dxa"/>
            <w:tcBorders>
              <w:top w:val="nil"/>
              <w:left w:val="nil"/>
              <w:bottom w:val="single" w:sz="12"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2</w:t>
            </w:r>
          </w:p>
        </w:tc>
        <w:tc>
          <w:tcPr>
            <w:tcW w:w="1051" w:type="dxa"/>
            <w:tcBorders>
              <w:top w:val="nil"/>
              <w:left w:val="nil"/>
              <w:bottom w:val="single" w:sz="12"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8</w:t>
            </w:r>
          </w:p>
        </w:tc>
        <w:tc>
          <w:tcPr>
            <w:tcW w:w="1051" w:type="dxa"/>
            <w:tcBorders>
              <w:top w:val="nil"/>
              <w:left w:val="nil"/>
              <w:bottom w:val="single" w:sz="12" w:space="0" w:color="auto"/>
              <w:right w:val="nil"/>
            </w:tcBorders>
            <w:noWrap/>
            <w:vAlign w:val="bottom"/>
          </w:tcPr>
          <w:p w:rsidR="00CB14CB" w:rsidRPr="00CB14CB" w:rsidRDefault="00CB14CB" w:rsidP="00CB14CB">
            <w:pPr>
              <w:spacing w:after="0" w:line="240" w:lineRule="auto"/>
              <w:rPr>
                <w:rFonts w:ascii="STIX MathJax Main" w:eastAsia="Times New Roman" w:hAnsi="STIX MathJax Main" w:cs="STIX MathJax Main"/>
                <w:sz w:val="18"/>
                <w:szCs w:val="18"/>
              </w:rPr>
            </w:pPr>
            <w:r w:rsidRPr="00CB14CB">
              <w:rPr>
                <w:rFonts w:ascii="STIX" w:eastAsia="Times New Roman" w:hAnsi="STIX" w:cs="STIX MathJax Main"/>
                <w:sz w:val="18"/>
                <w:szCs w:val="18"/>
              </w:rPr>
              <w:t>32</w:t>
            </w:r>
          </w:p>
        </w:tc>
      </w:tr>
    </w:tbl>
    <w:p w:rsidR="00CB14CB" w:rsidRPr="00CB14CB" w:rsidRDefault="00CB14CB" w:rsidP="00CB14CB">
      <w:pPr>
        <w:spacing w:after="0" w:line="240" w:lineRule="auto"/>
        <w:rPr>
          <w:rFonts w:ascii="STIX" w:eastAsia="Times New Roman" w:hAnsi="STIX"/>
          <w:sz w:val="20"/>
          <w:szCs w:val="24"/>
        </w:rPr>
      </w:pPr>
    </w:p>
    <w:p w:rsidR="00696EAA" w:rsidRDefault="00696EAA" w:rsidP="00CB14CB">
      <w:pPr>
        <w:spacing w:after="0" w:line="240" w:lineRule="auto"/>
        <w:rPr>
          <w:rFonts w:ascii="STIX" w:eastAsia="Times New Roman" w:hAnsi="STIX"/>
          <w:sz w:val="20"/>
          <w:szCs w:val="24"/>
        </w:rPr>
      </w:pPr>
    </w:p>
    <w:sectPr w:rsidR="00696EAA"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D7AF1-3421-45BE-915A-77E8C8AFA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2017-03-31T19:19:00Z</dcterms:created>
  <dcterms:modified xsi:type="dcterms:W3CDTF">2017-03-31T19:19:00Z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