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21.</w:t>
      </w:r>
      <w:r w:rsidR="00570694">
        <w:rPr>
          <w:b/>
          <w:noProof/>
          <w:sz w:val="20"/>
          <w:szCs w:val="20"/>
        </w:rPr>
        <w:t>28</w:t>
      </w:r>
    </w:p>
    <w:p w:rsidR="005375C4" w:rsidRDefault="005375C4" w:rsidP="005375C4">
      <w:pPr>
        <w:spacing w:after="0" w:line="240" w:lineRule="auto"/>
        <w:rPr>
          <w:rFonts w:ascii="STIX" w:eastAsia="Times New Roman" w:hAnsi="STIX"/>
          <w:sz w:val="20"/>
          <w:szCs w:val="24"/>
        </w:rPr>
      </w:pPr>
    </w:p>
    <w:p w:rsidR="00570694" w:rsidRPr="00570694" w:rsidRDefault="00570694" w:rsidP="00570694">
      <w:pPr>
        <w:spacing w:after="0" w:line="240" w:lineRule="auto"/>
        <w:rPr>
          <w:rFonts w:ascii="STIX" w:eastAsia="Times New Roman" w:hAnsi="STIX"/>
          <w:sz w:val="20"/>
          <w:szCs w:val="24"/>
        </w:rPr>
      </w:pPr>
      <w:r w:rsidRPr="00570694">
        <w:rPr>
          <w:rFonts w:ascii="STIX" w:eastAsia="Times New Roman" w:hAnsi="STIX"/>
          <w:sz w:val="20"/>
          <w:szCs w:val="24"/>
        </w:rPr>
        <w:t>Because the data is equispaced, we can use the second</w:t>
      </w:r>
      <w:r w:rsidRPr="00570694">
        <w:rPr>
          <w:rFonts w:ascii="STIX" w:eastAsia="Times New Roman" w:hAnsi="STIX" w:cs="STIX MathJax Main"/>
          <w:sz w:val="20"/>
          <w:szCs w:val="24"/>
        </w:rPr>
        <w:t>-</w:t>
      </w:r>
      <w:r w:rsidRPr="00570694">
        <w:rPr>
          <w:rFonts w:ascii="STIX" w:eastAsia="Times New Roman" w:hAnsi="STIX"/>
          <w:sz w:val="20"/>
          <w:szCs w:val="24"/>
        </w:rPr>
        <w:t>order finite divided difference formulas from Figs. 21.3 through 21.5. For the first point, we can use</w:t>
      </w:r>
    </w:p>
    <w:p w:rsidR="00570694" w:rsidRPr="00570694" w:rsidRDefault="00570694" w:rsidP="00570694">
      <w:pPr>
        <w:spacing w:after="0" w:line="240" w:lineRule="auto"/>
        <w:rPr>
          <w:rFonts w:ascii="STIX" w:eastAsia="Times New Roman" w:hAnsi="STIX"/>
          <w:sz w:val="20"/>
          <w:szCs w:val="24"/>
        </w:rPr>
      </w:pPr>
    </w:p>
    <w:p w:rsidR="00570694" w:rsidRPr="00570694" w:rsidRDefault="00570694" w:rsidP="00570694">
      <w:pPr>
        <w:spacing w:after="0" w:line="240" w:lineRule="auto"/>
        <w:rPr>
          <w:rFonts w:ascii="STIX" w:eastAsia="Times New Roman" w:hAnsi="STIX"/>
          <w:sz w:val="20"/>
          <w:szCs w:val="24"/>
        </w:rPr>
      </w:pPr>
      <w:r w:rsidRPr="00570694">
        <w:rPr>
          <w:rFonts w:ascii="STIX" w:eastAsia="Times New Roman" w:hAnsi="STIX"/>
          <w:position w:val="-24"/>
          <w:sz w:val="20"/>
          <w:szCs w:val="24"/>
        </w:rPr>
        <w:object w:dxaOrig="336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568" type="#_x0000_t75" style="width:168pt;height:32.25pt" o:ole="">
            <v:imagedata r:id="rId8" o:title=""/>
          </v:shape>
          <o:OLEObject Type="Embed" ProgID="Equation.DSMT4" ShapeID="_x0000_i4568" DrawAspect="Content" ObjectID="_1552487266" r:id="rId9"/>
        </w:object>
      </w:r>
    </w:p>
    <w:p w:rsidR="00570694" w:rsidRPr="00570694" w:rsidRDefault="00570694" w:rsidP="00570694">
      <w:pPr>
        <w:spacing w:after="0" w:line="240" w:lineRule="auto"/>
        <w:rPr>
          <w:rFonts w:ascii="STIX" w:eastAsia="Times New Roman" w:hAnsi="STIX"/>
          <w:sz w:val="20"/>
          <w:szCs w:val="24"/>
        </w:rPr>
      </w:pPr>
    </w:p>
    <w:p w:rsidR="00570694" w:rsidRPr="00570694" w:rsidRDefault="00570694" w:rsidP="00570694">
      <w:pPr>
        <w:spacing w:after="0" w:line="240" w:lineRule="auto"/>
        <w:rPr>
          <w:rFonts w:ascii="STIX" w:eastAsia="Times New Roman" w:hAnsi="STIX"/>
          <w:sz w:val="20"/>
          <w:szCs w:val="24"/>
        </w:rPr>
      </w:pPr>
      <w:r w:rsidRPr="00570694">
        <w:rPr>
          <w:rFonts w:ascii="STIX" w:eastAsia="Times New Roman" w:hAnsi="STIX"/>
          <w:sz w:val="20"/>
          <w:szCs w:val="24"/>
        </w:rPr>
        <w:t xml:space="preserve">For the intermediate points, we can use centered differences. For example, for the second point </w:t>
      </w:r>
    </w:p>
    <w:p w:rsidR="00570694" w:rsidRPr="00570694" w:rsidRDefault="00570694" w:rsidP="00570694">
      <w:pPr>
        <w:spacing w:after="0" w:line="240" w:lineRule="auto"/>
        <w:rPr>
          <w:rFonts w:ascii="STIX" w:eastAsia="Times New Roman" w:hAnsi="STIX"/>
          <w:sz w:val="20"/>
          <w:szCs w:val="24"/>
        </w:rPr>
      </w:pPr>
    </w:p>
    <w:p w:rsidR="00570694" w:rsidRPr="00570694" w:rsidRDefault="00570694" w:rsidP="00570694">
      <w:pPr>
        <w:spacing w:after="0" w:line="240" w:lineRule="auto"/>
        <w:rPr>
          <w:rFonts w:ascii="STIX" w:eastAsia="Times New Roman" w:hAnsi="STIX"/>
          <w:sz w:val="20"/>
          <w:szCs w:val="24"/>
        </w:rPr>
      </w:pPr>
      <w:r w:rsidRPr="00570694">
        <w:rPr>
          <w:rFonts w:ascii="STIX" w:eastAsia="Times New Roman" w:hAnsi="STIX"/>
          <w:position w:val="-24"/>
          <w:sz w:val="20"/>
          <w:szCs w:val="24"/>
        </w:rPr>
        <w:object w:dxaOrig="1840" w:dyaOrig="639">
          <v:shape id="_x0000_i4569" type="#_x0000_t75" style="width:92.25pt;height:32.25pt" o:ole="">
            <v:imagedata r:id="rId10" o:title=""/>
          </v:shape>
          <o:OLEObject Type="Embed" ProgID="Equation.DSMT4" ShapeID="_x0000_i4569" DrawAspect="Content" ObjectID="_1552487267" r:id="rId11"/>
        </w:object>
      </w:r>
    </w:p>
    <w:p w:rsidR="00570694" w:rsidRPr="00570694" w:rsidRDefault="00570694" w:rsidP="00570694">
      <w:pPr>
        <w:spacing w:after="0" w:line="240" w:lineRule="auto"/>
        <w:rPr>
          <w:rFonts w:ascii="STIX" w:eastAsia="Times New Roman" w:hAnsi="STIX"/>
          <w:sz w:val="20"/>
          <w:szCs w:val="24"/>
        </w:rPr>
      </w:pPr>
    </w:p>
    <w:p w:rsidR="00570694" w:rsidRPr="00570694" w:rsidRDefault="00570694" w:rsidP="00570694">
      <w:pPr>
        <w:spacing w:after="0" w:line="240" w:lineRule="auto"/>
        <w:rPr>
          <w:rFonts w:ascii="STIX" w:eastAsia="Times New Roman" w:hAnsi="STIX"/>
          <w:sz w:val="20"/>
          <w:szCs w:val="24"/>
        </w:rPr>
      </w:pPr>
      <w:r w:rsidRPr="00570694">
        <w:rPr>
          <w:rFonts w:ascii="STIX" w:eastAsia="Times New Roman" w:hAnsi="STIX"/>
          <w:sz w:val="20"/>
          <w:szCs w:val="24"/>
        </w:rPr>
        <w:t>We can analyze the other interior points in a similar fashion. For the last point, we can use a backward difference</w:t>
      </w:r>
    </w:p>
    <w:p w:rsidR="00570694" w:rsidRPr="00570694" w:rsidRDefault="00570694" w:rsidP="00570694">
      <w:pPr>
        <w:spacing w:after="0" w:line="240" w:lineRule="auto"/>
        <w:rPr>
          <w:rFonts w:ascii="STIX" w:eastAsia="Times New Roman" w:hAnsi="STIX"/>
          <w:sz w:val="20"/>
          <w:szCs w:val="24"/>
        </w:rPr>
      </w:pPr>
    </w:p>
    <w:p w:rsidR="00570694" w:rsidRPr="00570694" w:rsidRDefault="00570694" w:rsidP="00570694">
      <w:pPr>
        <w:spacing w:after="0" w:line="240" w:lineRule="auto"/>
        <w:rPr>
          <w:rFonts w:ascii="STIX" w:eastAsia="Times New Roman" w:hAnsi="STIX"/>
          <w:sz w:val="20"/>
          <w:szCs w:val="24"/>
        </w:rPr>
      </w:pPr>
      <w:r w:rsidRPr="00570694">
        <w:rPr>
          <w:rFonts w:ascii="STIX" w:eastAsia="Times New Roman" w:hAnsi="STIX"/>
          <w:position w:val="-24"/>
          <w:sz w:val="20"/>
          <w:szCs w:val="24"/>
        </w:rPr>
        <w:object w:dxaOrig="3680" w:dyaOrig="639">
          <v:shape id="_x0000_i4570" type="#_x0000_t75" style="width:183.75pt;height:32.25pt" o:ole="">
            <v:imagedata r:id="rId12" o:title=""/>
          </v:shape>
          <o:OLEObject Type="Embed" ProgID="Equation.DSMT4" ShapeID="_x0000_i4570" DrawAspect="Content" ObjectID="_1552487268" r:id="rId13"/>
        </w:object>
      </w:r>
    </w:p>
    <w:p w:rsidR="00570694" w:rsidRPr="00570694" w:rsidRDefault="00570694" w:rsidP="00570694">
      <w:pPr>
        <w:spacing w:after="0" w:line="240" w:lineRule="auto"/>
        <w:rPr>
          <w:rFonts w:ascii="STIX" w:eastAsia="Times New Roman" w:hAnsi="STIX"/>
          <w:sz w:val="20"/>
          <w:szCs w:val="24"/>
        </w:rPr>
      </w:pPr>
    </w:p>
    <w:p w:rsidR="00570694" w:rsidRPr="00570694" w:rsidRDefault="00570694" w:rsidP="00570694">
      <w:pPr>
        <w:spacing w:after="0" w:line="240" w:lineRule="auto"/>
        <w:rPr>
          <w:rFonts w:ascii="STIX" w:eastAsia="Times New Roman" w:hAnsi="STIX"/>
          <w:sz w:val="20"/>
          <w:szCs w:val="24"/>
        </w:rPr>
      </w:pPr>
      <w:r w:rsidRPr="00570694">
        <w:rPr>
          <w:rFonts w:ascii="STIX" w:eastAsia="Times New Roman" w:hAnsi="STIX"/>
          <w:sz w:val="20"/>
          <w:szCs w:val="24"/>
        </w:rPr>
        <w:t>All the values can be tabulated as</w:t>
      </w:r>
    </w:p>
    <w:p w:rsidR="00570694" w:rsidRPr="00570694" w:rsidRDefault="00570694" w:rsidP="00570694">
      <w:pPr>
        <w:spacing w:after="0" w:line="240" w:lineRule="auto"/>
        <w:rPr>
          <w:rFonts w:ascii="STIX" w:eastAsia="Times New Roman" w:hAnsi="STIX"/>
          <w:sz w:val="20"/>
          <w:szCs w:val="24"/>
        </w:rPr>
      </w:pPr>
    </w:p>
    <w:tbl>
      <w:tblPr>
        <w:tblW w:w="3318" w:type="dxa"/>
        <w:tblInd w:w="468" w:type="dxa"/>
        <w:tblLook w:val="0000"/>
      </w:tblPr>
      <w:tblGrid>
        <w:gridCol w:w="720"/>
        <w:gridCol w:w="720"/>
        <w:gridCol w:w="939"/>
        <w:gridCol w:w="939"/>
      </w:tblGrid>
      <w:tr w:rsidR="00570694" w:rsidRPr="00570694" w:rsidTr="00FF7247">
        <w:trPr>
          <w:trHeight w:val="255"/>
        </w:trPr>
        <w:tc>
          <w:tcPr>
            <w:tcW w:w="720" w:type="dxa"/>
            <w:tcBorders>
              <w:top w:val="single" w:sz="12" w:space="0" w:color="auto"/>
              <w:left w:val="nil"/>
              <w:bottom w:val="single" w:sz="6" w:space="0" w:color="auto"/>
              <w:right w:val="nil"/>
            </w:tcBorders>
            <w:noWrap/>
            <w:vAlign w:val="bottom"/>
          </w:tcPr>
          <w:p w:rsidR="00570694" w:rsidRPr="00570694" w:rsidRDefault="00570694" w:rsidP="00570694">
            <w:pPr>
              <w:spacing w:after="0" w:line="240" w:lineRule="auto"/>
              <w:rPr>
                <w:rFonts w:ascii="STIX MathJax Main" w:eastAsia="Times New Roman" w:hAnsi="STIX MathJax Main" w:cs="STIX MathJax Main"/>
                <w:b/>
                <w:i/>
                <w:sz w:val="18"/>
                <w:szCs w:val="20"/>
              </w:rPr>
            </w:pPr>
            <w:r w:rsidRPr="00570694">
              <w:rPr>
                <w:rFonts w:ascii="STIX" w:eastAsia="Times New Roman" w:hAnsi="STIX" w:cs="STIX MathJax Main"/>
                <w:b/>
                <w:i/>
                <w:sz w:val="18"/>
                <w:szCs w:val="20"/>
              </w:rPr>
              <w:t>t</w:t>
            </w:r>
          </w:p>
        </w:tc>
        <w:tc>
          <w:tcPr>
            <w:tcW w:w="720" w:type="dxa"/>
            <w:tcBorders>
              <w:top w:val="single" w:sz="12" w:space="0" w:color="auto"/>
              <w:left w:val="nil"/>
              <w:bottom w:val="single" w:sz="6" w:space="0" w:color="auto"/>
              <w:right w:val="nil"/>
            </w:tcBorders>
            <w:noWrap/>
            <w:vAlign w:val="bottom"/>
          </w:tcPr>
          <w:p w:rsidR="00570694" w:rsidRPr="00570694" w:rsidRDefault="00570694" w:rsidP="00570694">
            <w:pPr>
              <w:spacing w:after="0" w:line="240" w:lineRule="auto"/>
              <w:rPr>
                <w:rFonts w:ascii="STIX MathJax Main" w:eastAsia="Times New Roman" w:hAnsi="STIX MathJax Main" w:cs="STIX MathJax Main"/>
                <w:b/>
                <w:sz w:val="18"/>
                <w:szCs w:val="20"/>
              </w:rPr>
            </w:pPr>
            <w:r w:rsidRPr="00570694">
              <w:rPr>
                <w:rFonts w:ascii="STIX" w:eastAsia="Times New Roman" w:hAnsi="STIX" w:cs="STIX MathJax Main"/>
                <w:b/>
                <w:i/>
                <w:sz w:val="18"/>
                <w:szCs w:val="20"/>
              </w:rPr>
              <w:t>T</w:t>
            </w:r>
          </w:p>
        </w:tc>
        <w:tc>
          <w:tcPr>
            <w:tcW w:w="939" w:type="dxa"/>
            <w:tcBorders>
              <w:top w:val="single" w:sz="12" w:space="0" w:color="auto"/>
              <w:left w:val="nil"/>
              <w:bottom w:val="single" w:sz="6" w:space="0" w:color="auto"/>
              <w:right w:val="nil"/>
            </w:tcBorders>
            <w:noWrap/>
            <w:vAlign w:val="bottom"/>
          </w:tcPr>
          <w:p w:rsidR="00570694" w:rsidRPr="00570694" w:rsidRDefault="00570694" w:rsidP="00570694">
            <w:pPr>
              <w:spacing w:after="0" w:line="240" w:lineRule="auto"/>
              <w:rPr>
                <w:rFonts w:ascii="STIX MathJax Main" w:eastAsia="Times New Roman" w:hAnsi="STIX MathJax Main" w:cs="STIX MathJax Main"/>
                <w:b/>
                <w:sz w:val="18"/>
                <w:szCs w:val="20"/>
              </w:rPr>
            </w:pPr>
            <w:r w:rsidRPr="00570694">
              <w:rPr>
                <w:rFonts w:ascii="STIX" w:eastAsia="Times New Roman" w:hAnsi="STIX" w:cs="STIX MathJax Main"/>
                <w:b/>
                <w:i/>
                <w:sz w:val="18"/>
                <w:szCs w:val="20"/>
              </w:rPr>
              <w:t>T</w:t>
            </w:r>
            <w:r w:rsidRPr="00570694">
              <w:rPr>
                <w:rFonts w:ascii="STIX" w:eastAsia="Times New Roman" w:hAnsi="STIX" w:cs="STIX MathJax Main"/>
                <w:b/>
                <w:sz w:val="18"/>
                <w:szCs w:val="20"/>
              </w:rPr>
              <w:t xml:space="preserve"> </w:t>
            </w:r>
            <w:r w:rsidRPr="00570694">
              <w:rPr>
                <w:rFonts w:ascii="Courier New" w:eastAsia="Times New Roman" w:hAnsi="Courier New" w:cs="STIX MathJax Main"/>
                <w:b/>
                <w:sz w:val="18"/>
                <w:szCs w:val="20"/>
              </w:rPr>
              <w:t xml:space="preserve">– </w:t>
            </w:r>
            <w:r w:rsidRPr="00570694">
              <w:rPr>
                <w:rFonts w:ascii="STIX" w:eastAsia="Times New Roman" w:hAnsi="STIX" w:cs="STIX MathJax Main"/>
                <w:b/>
                <w:i/>
                <w:sz w:val="18"/>
                <w:szCs w:val="20"/>
              </w:rPr>
              <w:t>T</w:t>
            </w:r>
            <w:r w:rsidRPr="00570694">
              <w:rPr>
                <w:rFonts w:ascii="STIX" w:eastAsia="Times New Roman" w:hAnsi="STIX" w:cs="STIX MathJax Main"/>
                <w:b/>
                <w:i/>
                <w:sz w:val="18"/>
                <w:szCs w:val="20"/>
                <w:vertAlign w:val="subscript"/>
              </w:rPr>
              <w:t>a</w:t>
            </w:r>
          </w:p>
        </w:tc>
        <w:tc>
          <w:tcPr>
            <w:tcW w:w="939" w:type="dxa"/>
            <w:tcBorders>
              <w:top w:val="single" w:sz="12" w:space="0" w:color="auto"/>
              <w:left w:val="nil"/>
              <w:bottom w:val="single" w:sz="6" w:space="0" w:color="auto"/>
              <w:right w:val="nil"/>
            </w:tcBorders>
          </w:tcPr>
          <w:p w:rsidR="00570694" w:rsidRPr="00570694" w:rsidRDefault="00570694" w:rsidP="00570694">
            <w:pPr>
              <w:spacing w:after="0" w:line="240" w:lineRule="auto"/>
              <w:rPr>
                <w:rFonts w:ascii="STIX MathJax Main" w:eastAsia="Times New Roman" w:hAnsi="STIX MathJax Main" w:cs="STIX MathJax Main"/>
                <w:b/>
                <w:sz w:val="18"/>
                <w:szCs w:val="20"/>
              </w:rPr>
            </w:pPr>
            <w:r w:rsidRPr="00570694">
              <w:rPr>
                <w:rFonts w:ascii="STIX" w:eastAsia="Times New Roman" w:hAnsi="STIX" w:cs="STIX MathJax Main"/>
                <w:b/>
                <w:i/>
                <w:sz w:val="18"/>
                <w:szCs w:val="20"/>
              </w:rPr>
              <w:t>dT</w:t>
            </w:r>
            <w:r w:rsidRPr="00570694">
              <w:rPr>
                <w:rFonts w:ascii="Courier New" w:eastAsia="Times New Roman" w:hAnsi="Courier New" w:cs="STIX MathJax Main"/>
                <w:b/>
                <w:sz w:val="18"/>
                <w:szCs w:val="20"/>
              </w:rPr>
              <w:t>/</w:t>
            </w:r>
            <w:r w:rsidRPr="00570694">
              <w:rPr>
                <w:rFonts w:ascii="STIX" w:eastAsia="Times New Roman" w:hAnsi="STIX" w:cs="STIX MathJax Main"/>
                <w:b/>
                <w:i/>
                <w:sz w:val="18"/>
                <w:szCs w:val="20"/>
              </w:rPr>
              <w:t>dt</w:t>
            </w:r>
          </w:p>
        </w:tc>
      </w:tr>
      <w:tr w:rsidR="00570694" w:rsidRPr="00570694" w:rsidTr="00FF7247">
        <w:trPr>
          <w:trHeight w:val="255"/>
        </w:trPr>
        <w:tc>
          <w:tcPr>
            <w:tcW w:w="720" w:type="dxa"/>
            <w:tcBorders>
              <w:top w:val="single" w:sz="6" w:space="0" w:color="auto"/>
              <w:left w:val="nil"/>
              <w:right w:val="nil"/>
            </w:tcBorders>
            <w:noWrap/>
            <w:vAlign w:val="bottom"/>
          </w:tcPr>
          <w:p w:rsidR="00570694" w:rsidRPr="00570694" w:rsidRDefault="00570694" w:rsidP="00570694">
            <w:pPr>
              <w:spacing w:after="0" w:line="240" w:lineRule="auto"/>
              <w:rPr>
                <w:rFonts w:ascii="STIX MathJax Main" w:eastAsia="Times New Roman" w:hAnsi="STIX MathJax Main" w:cs="STIX MathJax Main"/>
                <w:sz w:val="18"/>
                <w:szCs w:val="20"/>
              </w:rPr>
            </w:pPr>
            <w:r w:rsidRPr="00570694">
              <w:rPr>
                <w:rFonts w:ascii="STIX" w:eastAsia="Times New Roman" w:hAnsi="STIX" w:cs="STIX MathJax Main"/>
                <w:sz w:val="18"/>
                <w:szCs w:val="20"/>
              </w:rPr>
              <w:t>0</w:t>
            </w:r>
          </w:p>
        </w:tc>
        <w:tc>
          <w:tcPr>
            <w:tcW w:w="720" w:type="dxa"/>
            <w:tcBorders>
              <w:top w:val="single" w:sz="6" w:space="0" w:color="auto"/>
              <w:left w:val="nil"/>
              <w:right w:val="nil"/>
            </w:tcBorders>
            <w:noWrap/>
            <w:vAlign w:val="bottom"/>
          </w:tcPr>
          <w:p w:rsidR="00570694" w:rsidRPr="00570694" w:rsidRDefault="00570694" w:rsidP="00570694">
            <w:pPr>
              <w:spacing w:after="0" w:line="240" w:lineRule="auto"/>
              <w:rPr>
                <w:rFonts w:ascii="STIX MathJax Main" w:eastAsia="Times New Roman" w:hAnsi="STIX MathJax Main" w:cs="STIX MathJax Main"/>
                <w:sz w:val="18"/>
                <w:szCs w:val="20"/>
              </w:rPr>
            </w:pPr>
            <w:r w:rsidRPr="00570694">
              <w:rPr>
                <w:rFonts w:ascii="STIX" w:eastAsia="Times New Roman" w:hAnsi="STIX" w:cs="STIX MathJax Main"/>
                <w:sz w:val="18"/>
                <w:szCs w:val="20"/>
              </w:rPr>
              <w:t>80</w:t>
            </w:r>
          </w:p>
        </w:tc>
        <w:tc>
          <w:tcPr>
            <w:tcW w:w="939" w:type="dxa"/>
            <w:tcBorders>
              <w:top w:val="single" w:sz="6" w:space="0" w:color="auto"/>
              <w:left w:val="nil"/>
              <w:right w:val="nil"/>
            </w:tcBorders>
            <w:noWrap/>
            <w:vAlign w:val="bottom"/>
          </w:tcPr>
          <w:p w:rsidR="00570694" w:rsidRPr="00570694" w:rsidRDefault="00570694" w:rsidP="00570694">
            <w:pPr>
              <w:spacing w:after="0" w:line="240" w:lineRule="auto"/>
              <w:rPr>
                <w:rFonts w:ascii="STIX MathJax Main" w:eastAsia="Times New Roman" w:hAnsi="STIX MathJax Main" w:cs="STIX MathJax Main"/>
                <w:sz w:val="18"/>
                <w:szCs w:val="20"/>
              </w:rPr>
            </w:pPr>
            <w:r w:rsidRPr="00570694">
              <w:rPr>
                <w:rFonts w:ascii="STIX" w:eastAsia="Times New Roman" w:hAnsi="STIX" w:cs="STIX MathJax Main"/>
                <w:sz w:val="18"/>
                <w:szCs w:val="20"/>
              </w:rPr>
              <w:t>60</w:t>
            </w:r>
          </w:p>
        </w:tc>
        <w:tc>
          <w:tcPr>
            <w:tcW w:w="939" w:type="dxa"/>
            <w:tcBorders>
              <w:top w:val="single" w:sz="6" w:space="0" w:color="auto"/>
              <w:left w:val="nil"/>
              <w:right w:val="nil"/>
            </w:tcBorders>
          </w:tcPr>
          <w:p w:rsidR="00570694" w:rsidRPr="00570694" w:rsidRDefault="00570694" w:rsidP="00570694">
            <w:pPr>
              <w:spacing w:after="0" w:line="240" w:lineRule="auto"/>
              <w:rPr>
                <w:rFonts w:ascii="STIX MathJax Main" w:eastAsia="Times New Roman" w:hAnsi="STIX MathJax Main" w:cs="STIX MathJax Main"/>
                <w:sz w:val="18"/>
                <w:szCs w:val="20"/>
              </w:rPr>
            </w:pPr>
            <w:r w:rsidRPr="00570694">
              <w:rPr>
                <w:rFonts w:ascii="Courier New" w:eastAsia="Times New Roman" w:hAnsi="Courier New" w:cs="STIX MathJax Main"/>
                <w:sz w:val="18"/>
                <w:szCs w:val="20"/>
              </w:rPr>
              <w:t>–</w:t>
            </w:r>
            <w:r w:rsidRPr="00570694">
              <w:rPr>
                <w:rFonts w:ascii="STIX" w:eastAsia="Times New Roman" w:hAnsi="STIX" w:cs="STIX MathJax Main"/>
                <w:sz w:val="18"/>
                <w:szCs w:val="20"/>
              </w:rPr>
              <w:t>9.2</w:t>
            </w:r>
          </w:p>
        </w:tc>
      </w:tr>
      <w:tr w:rsidR="00570694" w:rsidRPr="00570694" w:rsidTr="00FF7247">
        <w:trPr>
          <w:trHeight w:val="255"/>
        </w:trPr>
        <w:tc>
          <w:tcPr>
            <w:tcW w:w="720" w:type="dxa"/>
            <w:tcBorders>
              <w:top w:val="nil"/>
              <w:left w:val="nil"/>
              <w:right w:val="nil"/>
            </w:tcBorders>
            <w:noWrap/>
            <w:vAlign w:val="bottom"/>
          </w:tcPr>
          <w:p w:rsidR="00570694" w:rsidRPr="00570694" w:rsidRDefault="00570694" w:rsidP="00570694">
            <w:pPr>
              <w:spacing w:after="0" w:line="240" w:lineRule="auto"/>
              <w:rPr>
                <w:rFonts w:ascii="STIX MathJax Main" w:eastAsia="Times New Roman" w:hAnsi="STIX MathJax Main" w:cs="STIX MathJax Main"/>
                <w:sz w:val="18"/>
                <w:szCs w:val="20"/>
              </w:rPr>
            </w:pPr>
            <w:r w:rsidRPr="00570694">
              <w:rPr>
                <w:rFonts w:ascii="STIX" w:eastAsia="Times New Roman" w:hAnsi="STIX" w:cs="STIX MathJax Main"/>
                <w:sz w:val="18"/>
                <w:szCs w:val="20"/>
              </w:rPr>
              <w:t>5</w:t>
            </w:r>
          </w:p>
        </w:tc>
        <w:tc>
          <w:tcPr>
            <w:tcW w:w="720" w:type="dxa"/>
            <w:tcBorders>
              <w:top w:val="nil"/>
              <w:left w:val="nil"/>
              <w:right w:val="nil"/>
            </w:tcBorders>
            <w:noWrap/>
            <w:vAlign w:val="bottom"/>
          </w:tcPr>
          <w:p w:rsidR="00570694" w:rsidRPr="00570694" w:rsidRDefault="00570694" w:rsidP="00570694">
            <w:pPr>
              <w:spacing w:after="0" w:line="240" w:lineRule="auto"/>
              <w:rPr>
                <w:rFonts w:ascii="STIX MathJax Main" w:eastAsia="Times New Roman" w:hAnsi="STIX MathJax Main" w:cs="STIX MathJax Main"/>
                <w:sz w:val="18"/>
                <w:szCs w:val="20"/>
              </w:rPr>
            </w:pPr>
            <w:r w:rsidRPr="00570694">
              <w:rPr>
                <w:rFonts w:ascii="STIX" w:eastAsia="Times New Roman" w:hAnsi="STIX" w:cs="STIX MathJax Main"/>
                <w:sz w:val="18"/>
                <w:szCs w:val="20"/>
              </w:rPr>
              <w:t>44.5</w:t>
            </w:r>
          </w:p>
        </w:tc>
        <w:tc>
          <w:tcPr>
            <w:tcW w:w="939" w:type="dxa"/>
            <w:tcBorders>
              <w:top w:val="nil"/>
              <w:left w:val="nil"/>
              <w:right w:val="nil"/>
            </w:tcBorders>
            <w:noWrap/>
            <w:vAlign w:val="bottom"/>
          </w:tcPr>
          <w:p w:rsidR="00570694" w:rsidRPr="00570694" w:rsidRDefault="00570694" w:rsidP="00570694">
            <w:pPr>
              <w:spacing w:after="0" w:line="240" w:lineRule="auto"/>
              <w:rPr>
                <w:rFonts w:ascii="STIX MathJax Main" w:eastAsia="Times New Roman" w:hAnsi="STIX MathJax Main" w:cs="STIX MathJax Main"/>
                <w:sz w:val="18"/>
                <w:szCs w:val="20"/>
              </w:rPr>
            </w:pPr>
            <w:r w:rsidRPr="00570694">
              <w:rPr>
                <w:rFonts w:ascii="STIX" w:eastAsia="Times New Roman" w:hAnsi="STIX" w:cs="STIX MathJax Main"/>
                <w:sz w:val="18"/>
                <w:szCs w:val="20"/>
              </w:rPr>
              <w:t>24.5</w:t>
            </w:r>
          </w:p>
        </w:tc>
        <w:tc>
          <w:tcPr>
            <w:tcW w:w="939" w:type="dxa"/>
            <w:tcBorders>
              <w:top w:val="nil"/>
              <w:left w:val="nil"/>
              <w:right w:val="nil"/>
            </w:tcBorders>
          </w:tcPr>
          <w:p w:rsidR="00570694" w:rsidRPr="00570694" w:rsidRDefault="00570694" w:rsidP="00570694">
            <w:pPr>
              <w:spacing w:after="0" w:line="240" w:lineRule="auto"/>
              <w:rPr>
                <w:rFonts w:ascii="STIX MathJax Main" w:eastAsia="Times New Roman" w:hAnsi="STIX MathJax Main" w:cs="STIX MathJax Main"/>
                <w:sz w:val="18"/>
                <w:szCs w:val="20"/>
              </w:rPr>
            </w:pPr>
            <w:r w:rsidRPr="00570694">
              <w:rPr>
                <w:rFonts w:ascii="Courier New" w:eastAsia="Times New Roman" w:hAnsi="Courier New" w:cs="STIX MathJax Main"/>
                <w:sz w:val="18"/>
                <w:szCs w:val="20"/>
              </w:rPr>
              <w:t>–</w:t>
            </w:r>
            <w:r w:rsidRPr="00570694">
              <w:rPr>
                <w:rFonts w:ascii="STIX" w:eastAsia="Times New Roman" w:hAnsi="STIX" w:cs="STIX MathJax Main"/>
                <w:sz w:val="18"/>
                <w:szCs w:val="20"/>
              </w:rPr>
              <w:t>5</w:t>
            </w:r>
          </w:p>
        </w:tc>
      </w:tr>
      <w:tr w:rsidR="00570694" w:rsidRPr="00570694" w:rsidTr="00FF7247">
        <w:trPr>
          <w:trHeight w:val="255"/>
        </w:trPr>
        <w:tc>
          <w:tcPr>
            <w:tcW w:w="720" w:type="dxa"/>
            <w:tcBorders>
              <w:top w:val="nil"/>
              <w:left w:val="nil"/>
              <w:right w:val="nil"/>
            </w:tcBorders>
            <w:noWrap/>
            <w:vAlign w:val="bottom"/>
          </w:tcPr>
          <w:p w:rsidR="00570694" w:rsidRPr="00570694" w:rsidRDefault="00570694" w:rsidP="00570694">
            <w:pPr>
              <w:spacing w:after="0" w:line="240" w:lineRule="auto"/>
              <w:rPr>
                <w:rFonts w:ascii="STIX MathJax Main" w:eastAsia="Times New Roman" w:hAnsi="STIX MathJax Main" w:cs="STIX MathJax Main"/>
                <w:sz w:val="18"/>
                <w:szCs w:val="20"/>
              </w:rPr>
            </w:pPr>
            <w:r w:rsidRPr="00570694">
              <w:rPr>
                <w:rFonts w:ascii="STIX" w:eastAsia="Times New Roman" w:hAnsi="STIX" w:cs="STIX MathJax Main"/>
                <w:sz w:val="18"/>
                <w:szCs w:val="20"/>
              </w:rPr>
              <w:t>10</w:t>
            </w:r>
          </w:p>
        </w:tc>
        <w:tc>
          <w:tcPr>
            <w:tcW w:w="720" w:type="dxa"/>
            <w:tcBorders>
              <w:top w:val="nil"/>
              <w:left w:val="nil"/>
              <w:right w:val="nil"/>
            </w:tcBorders>
            <w:noWrap/>
            <w:vAlign w:val="bottom"/>
          </w:tcPr>
          <w:p w:rsidR="00570694" w:rsidRPr="00570694" w:rsidRDefault="00570694" w:rsidP="00570694">
            <w:pPr>
              <w:spacing w:after="0" w:line="240" w:lineRule="auto"/>
              <w:rPr>
                <w:rFonts w:ascii="STIX MathJax Main" w:eastAsia="Times New Roman" w:hAnsi="STIX MathJax Main" w:cs="STIX MathJax Main"/>
                <w:sz w:val="18"/>
                <w:szCs w:val="20"/>
              </w:rPr>
            </w:pPr>
            <w:r w:rsidRPr="00570694">
              <w:rPr>
                <w:rFonts w:ascii="STIX" w:eastAsia="Times New Roman" w:hAnsi="STIX" w:cs="STIX MathJax Main"/>
                <w:sz w:val="18"/>
                <w:szCs w:val="20"/>
              </w:rPr>
              <w:t>30</w:t>
            </w:r>
          </w:p>
        </w:tc>
        <w:tc>
          <w:tcPr>
            <w:tcW w:w="939" w:type="dxa"/>
            <w:tcBorders>
              <w:top w:val="nil"/>
              <w:left w:val="nil"/>
              <w:right w:val="nil"/>
            </w:tcBorders>
            <w:noWrap/>
            <w:vAlign w:val="bottom"/>
          </w:tcPr>
          <w:p w:rsidR="00570694" w:rsidRPr="00570694" w:rsidRDefault="00570694" w:rsidP="00570694">
            <w:pPr>
              <w:spacing w:after="0" w:line="240" w:lineRule="auto"/>
              <w:rPr>
                <w:rFonts w:ascii="STIX MathJax Main" w:eastAsia="Times New Roman" w:hAnsi="STIX MathJax Main" w:cs="STIX MathJax Main"/>
                <w:sz w:val="18"/>
                <w:szCs w:val="20"/>
              </w:rPr>
            </w:pPr>
            <w:r w:rsidRPr="00570694">
              <w:rPr>
                <w:rFonts w:ascii="STIX" w:eastAsia="Times New Roman" w:hAnsi="STIX" w:cs="STIX MathJax Main"/>
                <w:sz w:val="18"/>
                <w:szCs w:val="20"/>
              </w:rPr>
              <w:t>10</w:t>
            </w:r>
          </w:p>
        </w:tc>
        <w:tc>
          <w:tcPr>
            <w:tcW w:w="939" w:type="dxa"/>
            <w:tcBorders>
              <w:top w:val="nil"/>
              <w:left w:val="nil"/>
              <w:right w:val="nil"/>
            </w:tcBorders>
          </w:tcPr>
          <w:p w:rsidR="00570694" w:rsidRPr="00570694" w:rsidRDefault="00570694" w:rsidP="00570694">
            <w:pPr>
              <w:spacing w:after="0" w:line="240" w:lineRule="auto"/>
              <w:rPr>
                <w:rFonts w:ascii="STIX MathJax Main" w:eastAsia="Times New Roman" w:hAnsi="STIX MathJax Main" w:cs="STIX MathJax Main"/>
                <w:sz w:val="18"/>
                <w:szCs w:val="20"/>
              </w:rPr>
            </w:pPr>
            <w:r w:rsidRPr="00570694">
              <w:rPr>
                <w:rFonts w:ascii="Courier New" w:eastAsia="Times New Roman" w:hAnsi="Courier New" w:cs="STIX MathJax Main"/>
                <w:sz w:val="18"/>
                <w:szCs w:val="20"/>
              </w:rPr>
              <w:t>–</w:t>
            </w:r>
            <w:r w:rsidRPr="00570694">
              <w:rPr>
                <w:rFonts w:ascii="STIX" w:eastAsia="Times New Roman" w:hAnsi="STIX" w:cs="STIX MathJax Main"/>
                <w:sz w:val="18"/>
                <w:szCs w:val="20"/>
              </w:rPr>
              <w:t>2.04</w:t>
            </w:r>
          </w:p>
        </w:tc>
      </w:tr>
      <w:tr w:rsidR="00570694" w:rsidRPr="00570694" w:rsidTr="00FF7247">
        <w:trPr>
          <w:trHeight w:val="255"/>
        </w:trPr>
        <w:tc>
          <w:tcPr>
            <w:tcW w:w="720" w:type="dxa"/>
            <w:tcBorders>
              <w:top w:val="nil"/>
              <w:left w:val="nil"/>
              <w:right w:val="nil"/>
            </w:tcBorders>
            <w:noWrap/>
            <w:vAlign w:val="bottom"/>
          </w:tcPr>
          <w:p w:rsidR="00570694" w:rsidRPr="00570694" w:rsidRDefault="00570694" w:rsidP="00570694">
            <w:pPr>
              <w:spacing w:after="0" w:line="240" w:lineRule="auto"/>
              <w:rPr>
                <w:rFonts w:ascii="STIX MathJax Main" w:eastAsia="Times New Roman" w:hAnsi="STIX MathJax Main" w:cs="STIX MathJax Main"/>
                <w:sz w:val="18"/>
                <w:szCs w:val="20"/>
              </w:rPr>
            </w:pPr>
            <w:r w:rsidRPr="00570694">
              <w:rPr>
                <w:rFonts w:ascii="STIX" w:eastAsia="Times New Roman" w:hAnsi="STIX" w:cs="STIX MathJax Main"/>
                <w:sz w:val="18"/>
                <w:szCs w:val="20"/>
              </w:rPr>
              <w:t>15</w:t>
            </w:r>
          </w:p>
        </w:tc>
        <w:tc>
          <w:tcPr>
            <w:tcW w:w="720" w:type="dxa"/>
            <w:tcBorders>
              <w:top w:val="nil"/>
              <w:left w:val="nil"/>
              <w:right w:val="nil"/>
            </w:tcBorders>
            <w:noWrap/>
            <w:vAlign w:val="bottom"/>
          </w:tcPr>
          <w:p w:rsidR="00570694" w:rsidRPr="00570694" w:rsidRDefault="00570694" w:rsidP="00570694">
            <w:pPr>
              <w:spacing w:after="0" w:line="240" w:lineRule="auto"/>
              <w:rPr>
                <w:rFonts w:ascii="STIX MathJax Main" w:eastAsia="Times New Roman" w:hAnsi="STIX MathJax Main" w:cs="STIX MathJax Main"/>
                <w:sz w:val="18"/>
                <w:szCs w:val="20"/>
              </w:rPr>
            </w:pPr>
            <w:r w:rsidRPr="00570694">
              <w:rPr>
                <w:rFonts w:ascii="STIX" w:eastAsia="Times New Roman" w:hAnsi="STIX" w:cs="STIX MathJax Main"/>
                <w:sz w:val="18"/>
                <w:szCs w:val="20"/>
              </w:rPr>
              <w:t>24.1</w:t>
            </w:r>
          </w:p>
        </w:tc>
        <w:tc>
          <w:tcPr>
            <w:tcW w:w="939" w:type="dxa"/>
            <w:tcBorders>
              <w:top w:val="nil"/>
              <w:left w:val="nil"/>
              <w:right w:val="nil"/>
            </w:tcBorders>
            <w:noWrap/>
            <w:vAlign w:val="bottom"/>
          </w:tcPr>
          <w:p w:rsidR="00570694" w:rsidRPr="00570694" w:rsidRDefault="00570694" w:rsidP="00570694">
            <w:pPr>
              <w:spacing w:after="0" w:line="240" w:lineRule="auto"/>
              <w:rPr>
                <w:rFonts w:ascii="STIX MathJax Main" w:eastAsia="Times New Roman" w:hAnsi="STIX MathJax Main" w:cs="STIX MathJax Main"/>
                <w:sz w:val="18"/>
                <w:szCs w:val="20"/>
              </w:rPr>
            </w:pPr>
            <w:r w:rsidRPr="00570694">
              <w:rPr>
                <w:rFonts w:ascii="STIX" w:eastAsia="Times New Roman" w:hAnsi="STIX" w:cs="STIX MathJax Main"/>
                <w:sz w:val="18"/>
                <w:szCs w:val="20"/>
              </w:rPr>
              <w:t>4.1</w:t>
            </w:r>
          </w:p>
        </w:tc>
        <w:tc>
          <w:tcPr>
            <w:tcW w:w="939" w:type="dxa"/>
            <w:tcBorders>
              <w:top w:val="nil"/>
              <w:left w:val="nil"/>
              <w:right w:val="nil"/>
            </w:tcBorders>
          </w:tcPr>
          <w:p w:rsidR="00570694" w:rsidRPr="00570694" w:rsidRDefault="00570694" w:rsidP="00570694">
            <w:pPr>
              <w:spacing w:after="0" w:line="240" w:lineRule="auto"/>
              <w:rPr>
                <w:rFonts w:ascii="STIX MathJax Main" w:eastAsia="Times New Roman" w:hAnsi="STIX MathJax Main" w:cs="STIX MathJax Main"/>
                <w:sz w:val="18"/>
                <w:szCs w:val="20"/>
              </w:rPr>
            </w:pPr>
            <w:r w:rsidRPr="00570694">
              <w:rPr>
                <w:rFonts w:ascii="Courier New" w:eastAsia="Times New Roman" w:hAnsi="Courier New" w:cs="STIX MathJax Main"/>
                <w:sz w:val="18"/>
                <w:szCs w:val="20"/>
              </w:rPr>
              <w:t>–</w:t>
            </w:r>
            <w:r w:rsidRPr="00570694">
              <w:rPr>
                <w:rFonts w:ascii="STIX" w:eastAsia="Times New Roman" w:hAnsi="STIX" w:cs="STIX MathJax Main"/>
                <w:sz w:val="18"/>
                <w:szCs w:val="20"/>
              </w:rPr>
              <w:t>0.83</w:t>
            </w:r>
          </w:p>
        </w:tc>
      </w:tr>
      <w:tr w:rsidR="00570694" w:rsidRPr="00570694" w:rsidTr="00FF7247">
        <w:trPr>
          <w:trHeight w:val="255"/>
        </w:trPr>
        <w:tc>
          <w:tcPr>
            <w:tcW w:w="720" w:type="dxa"/>
            <w:tcBorders>
              <w:top w:val="nil"/>
              <w:left w:val="nil"/>
              <w:right w:val="nil"/>
            </w:tcBorders>
            <w:noWrap/>
            <w:vAlign w:val="bottom"/>
          </w:tcPr>
          <w:p w:rsidR="00570694" w:rsidRPr="00570694" w:rsidRDefault="00570694" w:rsidP="00570694">
            <w:pPr>
              <w:spacing w:after="0" w:line="240" w:lineRule="auto"/>
              <w:rPr>
                <w:rFonts w:ascii="STIX MathJax Main" w:eastAsia="Times New Roman" w:hAnsi="STIX MathJax Main" w:cs="STIX MathJax Main"/>
                <w:sz w:val="18"/>
                <w:szCs w:val="20"/>
              </w:rPr>
            </w:pPr>
            <w:r w:rsidRPr="00570694">
              <w:rPr>
                <w:rFonts w:ascii="STIX" w:eastAsia="Times New Roman" w:hAnsi="STIX" w:cs="STIX MathJax Main"/>
                <w:sz w:val="18"/>
                <w:szCs w:val="20"/>
              </w:rPr>
              <w:t>20</w:t>
            </w:r>
          </w:p>
        </w:tc>
        <w:tc>
          <w:tcPr>
            <w:tcW w:w="720" w:type="dxa"/>
            <w:tcBorders>
              <w:top w:val="nil"/>
              <w:left w:val="nil"/>
              <w:right w:val="nil"/>
            </w:tcBorders>
            <w:noWrap/>
            <w:vAlign w:val="bottom"/>
          </w:tcPr>
          <w:p w:rsidR="00570694" w:rsidRPr="00570694" w:rsidRDefault="00570694" w:rsidP="00570694">
            <w:pPr>
              <w:spacing w:after="0" w:line="240" w:lineRule="auto"/>
              <w:rPr>
                <w:rFonts w:ascii="STIX MathJax Main" w:eastAsia="Times New Roman" w:hAnsi="STIX MathJax Main" w:cs="STIX MathJax Main"/>
                <w:sz w:val="18"/>
                <w:szCs w:val="20"/>
              </w:rPr>
            </w:pPr>
            <w:r w:rsidRPr="00570694">
              <w:rPr>
                <w:rFonts w:ascii="STIX" w:eastAsia="Times New Roman" w:hAnsi="STIX" w:cs="STIX MathJax Main"/>
                <w:sz w:val="18"/>
                <w:szCs w:val="20"/>
              </w:rPr>
              <w:t>21.7</w:t>
            </w:r>
          </w:p>
        </w:tc>
        <w:tc>
          <w:tcPr>
            <w:tcW w:w="939" w:type="dxa"/>
            <w:tcBorders>
              <w:top w:val="nil"/>
              <w:left w:val="nil"/>
              <w:right w:val="nil"/>
            </w:tcBorders>
            <w:noWrap/>
            <w:vAlign w:val="bottom"/>
          </w:tcPr>
          <w:p w:rsidR="00570694" w:rsidRPr="00570694" w:rsidRDefault="00570694" w:rsidP="00570694">
            <w:pPr>
              <w:spacing w:after="0" w:line="240" w:lineRule="auto"/>
              <w:rPr>
                <w:rFonts w:ascii="STIX MathJax Main" w:eastAsia="Times New Roman" w:hAnsi="STIX MathJax Main" w:cs="STIX MathJax Main"/>
                <w:sz w:val="18"/>
                <w:szCs w:val="20"/>
              </w:rPr>
            </w:pPr>
            <w:r w:rsidRPr="00570694">
              <w:rPr>
                <w:rFonts w:ascii="STIX" w:eastAsia="Times New Roman" w:hAnsi="STIX" w:cs="STIX MathJax Main"/>
                <w:sz w:val="18"/>
                <w:szCs w:val="20"/>
              </w:rPr>
              <w:t>1.7</w:t>
            </w:r>
          </w:p>
        </w:tc>
        <w:tc>
          <w:tcPr>
            <w:tcW w:w="939" w:type="dxa"/>
            <w:tcBorders>
              <w:top w:val="nil"/>
              <w:left w:val="nil"/>
              <w:right w:val="nil"/>
            </w:tcBorders>
          </w:tcPr>
          <w:p w:rsidR="00570694" w:rsidRPr="00570694" w:rsidRDefault="00570694" w:rsidP="00570694">
            <w:pPr>
              <w:spacing w:after="0" w:line="240" w:lineRule="auto"/>
              <w:rPr>
                <w:rFonts w:ascii="STIX MathJax Main" w:eastAsia="Times New Roman" w:hAnsi="STIX MathJax Main" w:cs="STIX MathJax Main"/>
                <w:sz w:val="18"/>
                <w:szCs w:val="20"/>
              </w:rPr>
            </w:pPr>
            <w:r w:rsidRPr="00570694">
              <w:rPr>
                <w:rFonts w:ascii="Courier New" w:eastAsia="Times New Roman" w:hAnsi="Courier New" w:cs="STIX MathJax Main"/>
                <w:sz w:val="18"/>
                <w:szCs w:val="20"/>
              </w:rPr>
              <w:t>–</w:t>
            </w:r>
            <w:r w:rsidRPr="00570694">
              <w:rPr>
                <w:rFonts w:ascii="STIX" w:eastAsia="Times New Roman" w:hAnsi="STIX" w:cs="STIX MathJax Main"/>
                <w:sz w:val="18"/>
                <w:szCs w:val="20"/>
              </w:rPr>
              <w:t>0.34</w:t>
            </w:r>
          </w:p>
        </w:tc>
      </w:tr>
      <w:tr w:rsidR="00570694" w:rsidRPr="00570694" w:rsidTr="00FF7247">
        <w:trPr>
          <w:trHeight w:val="255"/>
        </w:trPr>
        <w:tc>
          <w:tcPr>
            <w:tcW w:w="720" w:type="dxa"/>
            <w:tcBorders>
              <w:top w:val="nil"/>
              <w:left w:val="nil"/>
              <w:bottom w:val="single" w:sz="12" w:space="0" w:color="auto"/>
              <w:right w:val="nil"/>
            </w:tcBorders>
            <w:noWrap/>
            <w:vAlign w:val="bottom"/>
          </w:tcPr>
          <w:p w:rsidR="00570694" w:rsidRPr="00570694" w:rsidRDefault="00570694" w:rsidP="00570694">
            <w:pPr>
              <w:spacing w:after="0" w:line="240" w:lineRule="auto"/>
              <w:rPr>
                <w:rFonts w:ascii="STIX MathJax Main" w:eastAsia="Times New Roman" w:hAnsi="STIX MathJax Main" w:cs="STIX MathJax Main"/>
                <w:sz w:val="18"/>
                <w:szCs w:val="20"/>
              </w:rPr>
            </w:pPr>
            <w:r w:rsidRPr="00570694">
              <w:rPr>
                <w:rFonts w:ascii="STIX" w:eastAsia="Times New Roman" w:hAnsi="STIX" w:cs="STIX MathJax Main"/>
                <w:sz w:val="18"/>
                <w:szCs w:val="20"/>
              </w:rPr>
              <w:t>25</w:t>
            </w:r>
          </w:p>
        </w:tc>
        <w:tc>
          <w:tcPr>
            <w:tcW w:w="720" w:type="dxa"/>
            <w:tcBorders>
              <w:top w:val="nil"/>
              <w:left w:val="nil"/>
              <w:bottom w:val="single" w:sz="12" w:space="0" w:color="auto"/>
              <w:right w:val="nil"/>
            </w:tcBorders>
            <w:noWrap/>
            <w:vAlign w:val="bottom"/>
          </w:tcPr>
          <w:p w:rsidR="00570694" w:rsidRPr="00570694" w:rsidRDefault="00570694" w:rsidP="00570694">
            <w:pPr>
              <w:spacing w:after="0" w:line="240" w:lineRule="auto"/>
              <w:rPr>
                <w:rFonts w:ascii="STIX MathJax Main" w:eastAsia="Times New Roman" w:hAnsi="STIX MathJax Main" w:cs="STIX MathJax Main"/>
                <w:sz w:val="18"/>
                <w:szCs w:val="20"/>
              </w:rPr>
            </w:pPr>
            <w:r w:rsidRPr="00570694">
              <w:rPr>
                <w:rFonts w:ascii="STIX" w:eastAsia="Times New Roman" w:hAnsi="STIX" w:cs="STIX MathJax Main"/>
                <w:sz w:val="18"/>
                <w:szCs w:val="20"/>
              </w:rPr>
              <w:t>20.7</w:t>
            </w:r>
          </w:p>
        </w:tc>
        <w:tc>
          <w:tcPr>
            <w:tcW w:w="939" w:type="dxa"/>
            <w:tcBorders>
              <w:top w:val="nil"/>
              <w:left w:val="nil"/>
              <w:bottom w:val="single" w:sz="12" w:space="0" w:color="auto"/>
              <w:right w:val="nil"/>
            </w:tcBorders>
            <w:noWrap/>
            <w:vAlign w:val="bottom"/>
          </w:tcPr>
          <w:p w:rsidR="00570694" w:rsidRPr="00570694" w:rsidRDefault="00570694" w:rsidP="00570694">
            <w:pPr>
              <w:spacing w:after="0" w:line="240" w:lineRule="auto"/>
              <w:rPr>
                <w:rFonts w:ascii="STIX MathJax Main" w:eastAsia="Times New Roman" w:hAnsi="STIX MathJax Main" w:cs="STIX MathJax Main"/>
                <w:sz w:val="18"/>
                <w:szCs w:val="20"/>
              </w:rPr>
            </w:pPr>
            <w:r w:rsidRPr="00570694">
              <w:rPr>
                <w:rFonts w:ascii="STIX" w:eastAsia="Times New Roman" w:hAnsi="STIX" w:cs="STIX MathJax Main"/>
                <w:sz w:val="18"/>
                <w:szCs w:val="20"/>
              </w:rPr>
              <w:t>0.7</w:t>
            </w:r>
          </w:p>
        </w:tc>
        <w:tc>
          <w:tcPr>
            <w:tcW w:w="939" w:type="dxa"/>
            <w:tcBorders>
              <w:top w:val="nil"/>
              <w:left w:val="nil"/>
              <w:bottom w:val="single" w:sz="12" w:space="0" w:color="auto"/>
              <w:right w:val="nil"/>
            </w:tcBorders>
          </w:tcPr>
          <w:p w:rsidR="00570694" w:rsidRPr="00570694" w:rsidRDefault="00570694" w:rsidP="00570694">
            <w:pPr>
              <w:spacing w:after="0" w:line="240" w:lineRule="auto"/>
              <w:rPr>
                <w:rFonts w:ascii="STIX MathJax Main" w:eastAsia="Times New Roman" w:hAnsi="STIX MathJax Main" w:cs="STIX MathJax Main"/>
                <w:sz w:val="18"/>
                <w:szCs w:val="20"/>
              </w:rPr>
            </w:pPr>
            <w:r w:rsidRPr="00570694">
              <w:rPr>
                <w:rFonts w:ascii="Courier New" w:eastAsia="Times New Roman" w:hAnsi="Courier New" w:cs="STIX MathJax Main"/>
                <w:sz w:val="18"/>
                <w:szCs w:val="20"/>
              </w:rPr>
              <w:t>–</w:t>
            </w:r>
            <w:r w:rsidRPr="00570694">
              <w:rPr>
                <w:rFonts w:ascii="STIX" w:eastAsia="Times New Roman" w:hAnsi="STIX" w:cs="STIX MathJax Main"/>
                <w:sz w:val="18"/>
                <w:szCs w:val="20"/>
              </w:rPr>
              <w:t>0.06</w:t>
            </w:r>
          </w:p>
        </w:tc>
      </w:tr>
    </w:tbl>
    <w:p w:rsidR="00570694" w:rsidRPr="00570694" w:rsidRDefault="00570694" w:rsidP="00570694">
      <w:pPr>
        <w:spacing w:after="0" w:line="240" w:lineRule="auto"/>
        <w:rPr>
          <w:rFonts w:ascii="STIX" w:eastAsia="Times New Roman" w:hAnsi="STIX"/>
          <w:sz w:val="20"/>
          <w:szCs w:val="24"/>
        </w:rPr>
      </w:pPr>
    </w:p>
    <w:p w:rsidR="00570694" w:rsidRPr="00570694" w:rsidRDefault="00570694" w:rsidP="00570694">
      <w:pPr>
        <w:spacing w:after="0" w:line="240" w:lineRule="auto"/>
        <w:rPr>
          <w:rFonts w:ascii="STIX" w:eastAsia="Times New Roman" w:hAnsi="STIX"/>
          <w:sz w:val="20"/>
          <w:szCs w:val="24"/>
        </w:rPr>
      </w:pPr>
      <w:r w:rsidRPr="00570694">
        <w:rPr>
          <w:rFonts w:ascii="STIX" w:eastAsia="Times New Roman" w:hAnsi="STIX"/>
          <w:sz w:val="20"/>
          <w:szCs w:val="24"/>
        </w:rPr>
        <w:t xml:space="preserve">If </w:t>
      </w:r>
      <w:smartTag w:uri="urn:schemas-microsoft-com:office:smarttags" w:element="City">
        <w:smartTag w:uri="urn:schemas-microsoft-com:office:smarttags" w:element="place">
          <w:r w:rsidRPr="00570694">
            <w:rPr>
              <w:rFonts w:ascii="STIX" w:eastAsia="Times New Roman" w:hAnsi="STIX"/>
              <w:sz w:val="20"/>
              <w:szCs w:val="24"/>
            </w:rPr>
            <w:t>Newton</w:t>
          </w:r>
        </w:smartTag>
      </w:smartTag>
      <w:r w:rsidRPr="00570694">
        <w:rPr>
          <w:rFonts w:ascii="STIX" w:eastAsia="Times New Roman" w:hAnsi="STIX"/>
          <w:sz w:val="20"/>
          <w:szCs w:val="24"/>
        </w:rPr>
        <w:t xml:space="preserve">’s law of cooling holds, we can plot </w:t>
      </w:r>
      <w:r w:rsidRPr="00570694">
        <w:rPr>
          <w:rFonts w:ascii="STIX" w:eastAsia="Times New Roman" w:hAnsi="STIX"/>
          <w:i/>
          <w:sz w:val="20"/>
          <w:szCs w:val="24"/>
        </w:rPr>
        <w:t>dT</w:t>
      </w:r>
      <w:r w:rsidRPr="00570694">
        <w:rPr>
          <w:rFonts w:ascii="Courier New" w:eastAsia="Times New Roman" w:hAnsi="Courier New"/>
          <w:sz w:val="20"/>
          <w:szCs w:val="24"/>
        </w:rPr>
        <w:t>/</w:t>
      </w:r>
      <w:r w:rsidRPr="00570694">
        <w:rPr>
          <w:rFonts w:ascii="STIX" w:eastAsia="Times New Roman" w:hAnsi="STIX"/>
          <w:i/>
          <w:sz w:val="20"/>
          <w:szCs w:val="24"/>
        </w:rPr>
        <w:t>dt</w:t>
      </w:r>
      <w:r w:rsidRPr="00570694">
        <w:rPr>
          <w:rFonts w:ascii="STIX" w:eastAsia="Times New Roman" w:hAnsi="STIX"/>
          <w:sz w:val="20"/>
          <w:szCs w:val="24"/>
        </w:rPr>
        <w:t xml:space="preserve"> versus </w:t>
      </w:r>
      <w:r w:rsidRPr="00570694">
        <w:rPr>
          <w:rFonts w:ascii="STIX" w:eastAsia="Times New Roman" w:hAnsi="STIX"/>
          <w:i/>
          <w:sz w:val="20"/>
          <w:szCs w:val="24"/>
        </w:rPr>
        <w:t>T</w:t>
      </w:r>
      <w:r w:rsidRPr="00570694">
        <w:rPr>
          <w:rFonts w:ascii="STIX" w:eastAsia="Times New Roman" w:hAnsi="STIX"/>
          <w:sz w:val="20"/>
          <w:szCs w:val="24"/>
        </w:rPr>
        <w:t xml:space="preserve"> </w:t>
      </w:r>
      <w:r w:rsidRPr="00570694">
        <w:rPr>
          <w:rFonts w:ascii="Courier New" w:eastAsia="Times New Roman" w:hAnsi="Courier New"/>
          <w:sz w:val="20"/>
          <w:szCs w:val="24"/>
        </w:rPr>
        <w:t>–</w:t>
      </w:r>
      <w:r w:rsidRPr="00570694">
        <w:rPr>
          <w:rFonts w:ascii="STIX" w:eastAsia="Times New Roman" w:hAnsi="STIX"/>
          <w:sz w:val="20"/>
          <w:szCs w:val="24"/>
        </w:rPr>
        <w:t xml:space="preserve"> </w:t>
      </w:r>
      <w:r w:rsidRPr="00570694">
        <w:rPr>
          <w:rFonts w:ascii="STIX" w:eastAsia="Times New Roman" w:hAnsi="STIX"/>
          <w:i/>
          <w:sz w:val="20"/>
          <w:szCs w:val="24"/>
        </w:rPr>
        <w:t>T</w:t>
      </w:r>
      <w:r w:rsidRPr="00570694">
        <w:rPr>
          <w:rFonts w:ascii="STIX" w:eastAsia="Times New Roman" w:hAnsi="STIX"/>
          <w:i/>
          <w:sz w:val="20"/>
          <w:szCs w:val="24"/>
          <w:vertAlign w:val="subscript"/>
        </w:rPr>
        <w:t>a</w:t>
      </w:r>
      <w:r w:rsidRPr="00570694">
        <w:rPr>
          <w:rFonts w:ascii="STIX" w:eastAsia="Times New Roman" w:hAnsi="STIX"/>
          <w:sz w:val="20"/>
          <w:szCs w:val="24"/>
        </w:rPr>
        <w:t xml:space="preserve"> and the points can be fit with a linear regression with zero intercept to estimate the cooling rate. As in the following plot, the result is </w:t>
      </w:r>
      <w:r w:rsidRPr="00570694">
        <w:rPr>
          <w:rFonts w:ascii="STIX" w:eastAsia="Times New Roman" w:hAnsi="STIX"/>
          <w:i/>
          <w:sz w:val="20"/>
          <w:szCs w:val="24"/>
        </w:rPr>
        <w:t>k</w:t>
      </w:r>
      <w:r w:rsidRPr="00570694">
        <w:rPr>
          <w:rFonts w:ascii="STIX" w:eastAsia="Times New Roman" w:hAnsi="STIX"/>
          <w:sz w:val="20"/>
          <w:szCs w:val="24"/>
        </w:rPr>
        <w:t xml:space="preserve"> </w:t>
      </w:r>
      <w:r w:rsidRPr="00570694">
        <w:rPr>
          <w:rFonts w:ascii="Courier New" w:eastAsia="Times New Roman" w:hAnsi="Courier New"/>
          <w:sz w:val="20"/>
          <w:szCs w:val="24"/>
        </w:rPr>
        <w:t>=</w:t>
      </w:r>
      <w:r w:rsidRPr="00570694">
        <w:rPr>
          <w:rFonts w:ascii="STIX" w:eastAsia="Times New Roman" w:hAnsi="STIX"/>
          <w:sz w:val="20"/>
          <w:szCs w:val="24"/>
        </w:rPr>
        <w:t xml:space="preserve"> 0.1618</w:t>
      </w:r>
      <w:r w:rsidRPr="00570694">
        <w:rPr>
          <w:rFonts w:ascii="Courier New" w:eastAsia="Times New Roman" w:hAnsi="Courier New"/>
          <w:sz w:val="20"/>
          <w:szCs w:val="24"/>
        </w:rPr>
        <w:t>/</w:t>
      </w:r>
      <w:r w:rsidRPr="00570694">
        <w:rPr>
          <w:rFonts w:ascii="STIX" w:eastAsia="Times New Roman" w:hAnsi="STIX"/>
          <w:sz w:val="20"/>
          <w:szCs w:val="24"/>
        </w:rPr>
        <w:t>min.</w:t>
      </w:r>
    </w:p>
    <w:p w:rsidR="00570694" w:rsidRPr="00570694" w:rsidRDefault="00570694" w:rsidP="00570694">
      <w:pPr>
        <w:spacing w:after="0" w:line="240" w:lineRule="auto"/>
        <w:rPr>
          <w:rFonts w:ascii="STIX" w:eastAsia="Times New Roman" w:hAnsi="STIX"/>
          <w:sz w:val="20"/>
          <w:szCs w:val="24"/>
        </w:rPr>
      </w:pPr>
    </w:p>
    <w:p w:rsidR="00570694" w:rsidRPr="00570694" w:rsidRDefault="00570694" w:rsidP="00570694">
      <w:pPr>
        <w:spacing w:after="0" w:line="240" w:lineRule="auto"/>
        <w:rPr>
          <w:rFonts w:ascii="STIX" w:eastAsia="Times New Roman" w:hAnsi="STIX"/>
          <w:sz w:val="20"/>
          <w:szCs w:val="24"/>
        </w:rPr>
      </w:pPr>
      <w:r>
        <w:rPr>
          <w:rFonts w:ascii="STIX" w:eastAsia="Times New Roman" w:hAnsi="STIX"/>
          <w:sz w:val="20"/>
          <w:szCs w:val="24"/>
        </w:rPr>
        <w:drawing>
          <wp:inline distT="0" distB="0" distL="0" distR="0">
            <wp:extent cx="3067050" cy="1143000"/>
            <wp:effectExtent l="19050" t="0" r="0" b="0"/>
            <wp:docPr id="3543" name="Picture 3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3"/>
                    <pic:cNvPicPr>
                      <a:picLocks noChangeAspect="1" noChangeArrowheads="1"/>
                    </pic:cNvPicPr>
                  </pic:nvPicPr>
                  <pic:blipFill>
                    <a:blip r:embed="rId14" cstate="print"/>
                    <a:srcRect/>
                    <a:stretch>
                      <a:fillRect/>
                    </a:stretch>
                  </pic:blipFill>
                  <pic:spPr bwMode="auto">
                    <a:xfrm>
                      <a:off x="0" y="0"/>
                      <a:ext cx="3067050" cy="1143000"/>
                    </a:xfrm>
                    <a:prstGeom prst="rect">
                      <a:avLst/>
                    </a:prstGeom>
                    <a:noFill/>
                    <a:ln w="9525">
                      <a:noFill/>
                      <a:miter lim="800000"/>
                      <a:headEnd/>
                      <a:tailEnd/>
                    </a:ln>
                  </pic:spPr>
                </pic:pic>
              </a:graphicData>
            </a:graphic>
          </wp:inline>
        </w:drawing>
      </w:r>
    </w:p>
    <w:p w:rsidR="00570694" w:rsidRPr="00570694" w:rsidRDefault="00570694" w:rsidP="00570694">
      <w:pPr>
        <w:spacing w:after="0" w:line="240" w:lineRule="auto"/>
        <w:rPr>
          <w:rFonts w:ascii="STIX" w:eastAsia="Times New Roman" w:hAnsi="STIX"/>
          <w:sz w:val="20"/>
          <w:szCs w:val="24"/>
        </w:rPr>
      </w:pPr>
    </w:p>
    <w:p w:rsidR="00696EAA" w:rsidRDefault="00696EAA" w:rsidP="00570694">
      <w:pPr>
        <w:spacing w:after="0" w:line="240" w:lineRule="auto"/>
        <w:rPr>
          <w:rFonts w:ascii="STIX" w:eastAsia="Times New Roman" w:hAnsi="STIX"/>
          <w:sz w:val="20"/>
          <w:szCs w:val="24"/>
        </w:rPr>
      </w:pPr>
    </w:p>
    <w:sectPr w:rsidR="00696EAA" w:rsidSect="002C1C68">
      <w:footerReference w:type="default" r:id="rId15"/>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4A03"/>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37CD8"/>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54FF71-427C-4B38-8B2B-C661AD0EB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128</Words>
  <Characters>734</Characters>
  <Application>Microsoft Office Word</Application>
  <DocSecurity>0</DocSecurity>
  <Lines>6</Lines>
  <Paragraphs>1</Paragraphs>
  <ScaleCrop>false</ScaleCrop>
  <Company/>
  <LinksUpToDate>false</LinksUpToDate>
  <CharactersWithSpaces>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2017-03-31T19:20:00Z</dcterms:created>
  <dcterms:modified xsi:type="dcterms:W3CDTF">2017-03-31T19:20:00Z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