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F93657">
        <w:rPr>
          <w:b/>
          <w:noProof/>
          <w:sz w:val="20"/>
          <w:szCs w:val="20"/>
        </w:rPr>
        <w:t>31</w:t>
      </w:r>
    </w:p>
    <w:p w:rsidR="005375C4" w:rsidRDefault="005375C4" w:rsidP="005375C4">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cs="STIX MathJax Main"/>
          <w:b/>
          <w:sz w:val="20"/>
          <w:szCs w:val="24"/>
        </w:rPr>
        <w:t>(a)</w:t>
      </w:r>
      <w:r w:rsidRPr="00F93657">
        <w:rPr>
          <w:rFonts w:ascii="STIX" w:eastAsia="Times New Roman" w:hAnsi="STIX"/>
          <w:sz w:val="20"/>
          <w:szCs w:val="24"/>
        </w:rPr>
        <w:t xml:space="preserve"> The pressure drop can be determined by integrating the pressure gradient</w: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position w:val="-30"/>
          <w:sz w:val="20"/>
          <w:szCs w:val="24"/>
        </w:rPr>
        <w:object w:dxaOrig="21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671" type="#_x0000_t75" style="width:108pt;height:36pt" o:ole="">
            <v:imagedata r:id="rId8" o:title=""/>
          </v:shape>
          <o:OLEObject Type="Embed" ProgID="Equation.DSMT4" ShapeID="_x0000_i4671" DrawAspect="Content" ObjectID="_1552487369" r:id="rId9"/>
        </w:objec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sz w:val="20"/>
          <w:szCs w:val="24"/>
        </w:rPr>
        <w:t>After converting the units to meters, a table can be set up holding the data and the integrand. The trapezoidal and Simpson’s rules can then be used to integrate this data as shown in the last column of the table.</w:t>
      </w:r>
    </w:p>
    <w:p w:rsidR="00F93657" w:rsidRPr="00F93657" w:rsidRDefault="00F93657" w:rsidP="00F93657">
      <w:pPr>
        <w:spacing w:after="0" w:line="240" w:lineRule="auto"/>
        <w:rPr>
          <w:rFonts w:ascii="STIX" w:eastAsia="Times New Roman" w:hAnsi="STIX"/>
          <w:sz w:val="20"/>
          <w:szCs w:val="24"/>
        </w:rPr>
      </w:pPr>
    </w:p>
    <w:tbl>
      <w:tblPr>
        <w:tblW w:w="5580" w:type="dxa"/>
        <w:tblInd w:w="468" w:type="dxa"/>
        <w:tblLook w:val="0000"/>
      </w:tblPr>
      <w:tblGrid>
        <w:gridCol w:w="939"/>
        <w:gridCol w:w="1051"/>
        <w:gridCol w:w="1050"/>
        <w:gridCol w:w="1280"/>
        <w:gridCol w:w="1260"/>
      </w:tblGrid>
      <w:tr w:rsidR="00F93657" w:rsidRPr="00F93657" w:rsidTr="00FF7247">
        <w:trPr>
          <w:trHeight w:val="255"/>
        </w:trPr>
        <w:tc>
          <w:tcPr>
            <w:tcW w:w="939"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i/>
                <w:sz w:val="18"/>
                <w:szCs w:val="18"/>
              </w:rPr>
              <w:t>x</w:t>
            </w:r>
            <w:r w:rsidRPr="00F93657">
              <w:rPr>
                <w:rFonts w:ascii="STIX" w:eastAsia="Times New Roman" w:hAnsi="STIX" w:cs="STIX MathJax Main"/>
                <w:b/>
                <w:sz w:val="18"/>
                <w:szCs w:val="18"/>
              </w:rPr>
              <w:t>, m</w:t>
            </w:r>
          </w:p>
        </w:tc>
        <w:tc>
          <w:tcPr>
            <w:tcW w:w="1051"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i/>
                <w:sz w:val="18"/>
                <w:szCs w:val="18"/>
              </w:rPr>
              <w:t>r</w:t>
            </w:r>
            <w:r w:rsidRPr="00F93657">
              <w:rPr>
                <w:rFonts w:ascii="STIX" w:eastAsia="Times New Roman" w:hAnsi="STIX" w:cs="STIX MathJax Main"/>
                <w:b/>
                <w:sz w:val="18"/>
                <w:szCs w:val="18"/>
              </w:rPr>
              <w:t>, m</w:t>
            </w:r>
          </w:p>
        </w:tc>
        <w:tc>
          <w:tcPr>
            <w:tcW w:w="1050"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sz w:val="18"/>
                <w:szCs w:val="18"/>
              </w:rPr>
              <w:t>integrand</w:t>
            </w:r>
          </w:p>
        </w:tc>
        <w:tc>
          <w:tcPr>
            <w:tcW w:w="1280"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sz w:val="18"/>
                <w:szCs w:val="18"/>
              </w:rPr>
              <w:t>integral</w:t>
            </w:r>
          </w:p>
        </w:tc>
        <w:tc>
          <w:tcPr>
            <w:tcW w:w="1260"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sz w:val="18"/>
                <w:szCs w:val="18"/>
              </w:rPr>
              <w:t>method</w:t>
            </w:r>
          </w:p>
        </w:tc>
      </w:tr>
      <w:tr w:rsidR="00F93657" w:rsidRPr="00F93657" w:rsidTr="00FF7247">
        <w:trPr>
          <w:trHeight w:val="255"/>
        </w:trPr>
        <w:tc>
          <w:tcPr>
            <w:tcW w:w="939"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w:t>
            </w:r>
          </w:p>
        </w:tc>
        <w:tc>
          <w:tcPr>
            <w:tcW w:w="1051"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0.002</w:t>
            </w:r>
          </w:p>
        </w:tc>
        <w:tc>
          <w:tcPr>
            <w:tcW w:w="1050"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7957.75</w:t>
            </w:r>
          </w:p>
        </w:tc>
        <w:tc>
          <w:tcPr>
            <w:tcW w:w="1280"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c>
          <w:tcPr>
            <w:tcW w:w="1260"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0.02</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0.00135</w:t>
            </w:r>
          </w:p>
        </w:tc>
        <w:tc>
          <w:tcPr>
            <w:tcW w:w="105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38333.2</w:t>
            </w:r>
          </w:p>
        </w:tc>
        <w:tc>
          <w:tcPr>
            <w:tcW w:w="128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c>
          <w:tcPr>
            <w:tcW w:w="126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0.04</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0.00134</w:t>
            </w:r>
          </w:p>
        </w:tc>
        <w:tc>
          <w:tcPr>
            <w:tcW w:w="105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39490.3</w:t>
            </w:r>
          </w:p>
        </w:tc>
        <w:tc>
          <w:tcPr>
            <w:tcW w:w="128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1338.5392</w:t>
            </w:r>
          </w:p>
        </w:tc>
        <w:tc>
          <w:tcPr>
            <w:tcW w:w="126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Simp 1</w:t>
            </w: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3</w:t>
            </w: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0.05</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0.0016</w:t>
            </w:r>
          </w:p>
        </w:tc>
        <w:tc>
          <w:tcPr>
            <w:tcW w:w="105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19428.1</w:t>
            </w:r>
          </w:p>
        </w:tc>
        <w:tc>
          <w:tcPr>
            <w:tcW w:w="128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c>
          <w:tcPr>
            <w:tcW w:w="126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0.06</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0.00158</w:t>
            </w:r>
          </w:p>
        </w:tc>
        <w:tc>
          <w:tcPr>
            <w:tcW w:w="105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20430.6</w:t>
            </w:r>
          </w:p>
        </w:tc>
        <w:tc>
          <w:tcPr>
            <w:tcW w:w="128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c>
          <w:tcPr>
            <w:tcW w:w="126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0.07</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0.00142</w:t>
            </w:r>
          </w:p>
        </w:tc>
        <w:tc>
          <w:tcPr>
            <w:tcW w:w="105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31315.3</w:t>
            </w:r>
          </w:p>
        </w:tc>
        <w:tc>
          <w:tcPr>
            <w:tcW w:w="128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713.9319</w:t>
            </w:r>
          </w:p>
        </w:tc>
        <w:tc>
          <w:tcPr>
            <w:tcW w:w="1260"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Simp 3</w:t>
            </w: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8</w:t>
            </w:r>
          </w:p>
        </w:tc>
      </w:tr>
      <w:tr w:rsidR="00F93657" w:rsidRPr="00F93657" w:rsidTr="00FF7247">
        <w:trPr>
          <w:trHeight w:val="255"/>
        </w:trPr>
        <w:tc>
          <w:tcPr>
            <w:tcW w:w="939"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0.1</w:t>
            </w:r>
          </w:p>
        </w:tc>
        <w:tc>
          <w:tcPr>
            <w:tcW w:w="1051"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0.002</w:t>
            </w:r>
          </w:p>
        </w:tc>
        <w:tc>
          <w:tcPr>
            <w:tcW w:w="1050"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7957.75</w:t>
            </w:r>
          </w:p>
        </w:tc>
        <w:tc>
          <w:tcPr>
            <w:tcW w:w="1280"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Courier New" w:eastAsia="Times New Roman" w:hAnsi="Courier New" w:cs="STIX MathJax Main"/>
                <w:sz w:val="18"/>
                <w:szCs w:val="18"/>
              </w:rPr>
              <w:t>–</w:t>
            </w:r>
            <w:r w:rsidRPr="00F93657">
              <w:rPr>
                <w:rFonts w:ascii="STIX" w:eastAsia="Times New Roman" w:hAnsi="STIX" w:cs="STIX MathJax Main"/>
                <w:sz w:val="18"/>
                <w:szCs w:val="18"/>
              </w:rPr>
              <w:t>589.0959</w:t>
            </w:r>
          </w:p>
        </w:tc>
        <w:tc>
          <w:tcPr>
            <w:tcW w:w="1260"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18"/>
              </w:rPr>
            </w:pPr>
            <w:r w:rsidRPr="00F93657">
              <w:rPr>
                <w:rFonts w:ascii="STIX" w:eastAsia="Times New Roman" w:hAnsi="STIX" w:cs="STIX MathJax Main"/>
                <w:sz w:val="18"/>
                <w:szCs w:val="18"/>
              </w:rPr>
              <w:t>Trap</w:t>
            </w:r>
          </w:p>
        </w:tc>
      </w:tr>
      <w:tr w:rsidR="00F93657" w:rsidRPr="00F93657" w:rsidTr="00FF7247">
        <w:trPr>
          <w:trHeight w:val="255"/>
        </w:trPr>
        <w:tc>
          <w:tcPr>
            <w:tcW w:w="939"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p>
        </w:tc>
        <w:tc>
          <w:tcPr>
            <w:tcW w:w="1051"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p>
        </w:tc>
        <w:tc>
          <w:tcPr>
            <w:tcW w:w="1050"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STIX" w:eastAsia="Times New Roman" w:hAnsi="STIX" w:cs="STIX MathJax Main"/>
                <w:b/>
                <w:sz w:val="18"/>
                <w:szCs w:val="18"/>
              </w:rPr>
              <w:t>Sum</w:t>
            </w:r>
            <w:r w:rsidRPr="00F93657">
              <w:rPr>
                <w:rFonts w:ascii="Courier New" w:eastAsia="Times New Roman" w:hAnsi="Courier New" w:cs="STIX MathJax Main"/>
                <w:b/>
                <w:sz w:val="18"/>
                <w:szCs w:val="18"/>
              </w:rPr>
              <w:sym w:font="Symbol" w:char="F0AE"/>
            </w:r>
          </w:p>
        </w:tc>
        <w:tc>
          <w:tcPr>
            <w:tcW w:w="1280"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r w:rsidRPr="00F93657">
              <w:rPr>
                <w:rFonts w:ascii="Courier New" w:eastAsia="Times New Roman" w:hAnsi="Courier New" w:cs="STIX MathJax Main"/>
                <w:b/>
                <w:sz w:val="18"/>
                <w:szCs w:val="18"/>
              </w:rPr>
              <w:t>–</w:t>
            </w:r>
            <w:r w:rsidRPr="00F93657">
              <w:rPr>
                <w:rFonts w:ascii="STIX" w:eastAsia="Times New Roman" w:hAnsi="STIX" w:cs="STIX MathJax Main"/>
                <w:b/>
                <w:sz w:val="18"/>
                <w:szCs w:val="18"/>
              </w:rPr>
              <w:t>2641.5670</w:t>
            </w:r>
          </w:p>
        </w:tc>
        <w:tc>
          <w:tcPr>
            <w:tcW w:w="1260"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18"/>
              </w:rPr>
            </w:pPr>
          </w:p>
        </w:tc>
      </w:tr>
    </w:tbl>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sz w:val="20"/>
          <w:szCs w:val="24"/>
        </w:rPr>
        <w:t xml:space="preserve">Therefore, the pressure drop is computed as </w:t>
      </w:r>
      <w:r w:rsidRPr="00F93657">
        <w:rPr>
          <w:rFonts w:ascii="Courier New" w:eastAsia="Times New Roman" w:hAnsi="Courier New"/>
          <w:sz w:val="20"/>
          <w:szCs w:val="24"/>
        </w:rPr>
        <w:t>–</w:t>
      </w:r>
      <w:r w:rsidRPr="00F93657">
        <w:rPr>
          <w:rFonts w:ascii="STIX" w:eastAsia="Times New Roman" w:hAnsi="STIX"/>
          <w:sz w:val="20"/>
          <w:szCs w:val="24"/>
        </w:rPr>
        <w:t>2,641.567 N</w:t>
      </w:r>
      <w:r w:rsidRPr="00F93657">
        <w:rPr>
          <w:rFonts w:ascii="Courier New" w:eastAsia="Times New Roman" w:hAnsi="Courier New"/>
          <w:sz w:val="20"/>
          <w:szCs w:val="24"/>
        </w:rPr>
        <w:t>/</w:t>
      </w:r>
      <w:r w:rsidRPr="00F93657">
        <w:rPr>
          <w:rFonts w:ascii="STIX" w:eastAsia="Times New Roman" w:hAnsi="STIX"/>
          <w:sz w:val="20"/>
          <w:szCs w:val="24"/>
        </w:rPr>
        <w:t>m</w:t>
      </w:r>
      <w:r w:rsidRPr="00F93657">
        <w:rPr>
          <w:rFonts w:ascii="STIX" w:eastAsia="Times New Roman" w:hAnsi="STIX"/>
          <w:sz w:val="20"/>
          <w:szCs w:val="24"/>
          <w:vertAlign w:val="superscript"/>
        </w:rPr>
        <w:t>2</w:t>
      </w:r>
      <w:r w:rsidRPr="00F93657">
        <w:rPr>
          <w:rFonts w:ascii="STIX" w:eastAsia="Times New Roman" w:hAnsi="STIX"/>
          <w:sz w:val="20"/>
          <w:szCs w:val="24"/>
        </w:rPr>
        <w:t xml:space="preserve">. </w:t>
      </w: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cs="STIX MathJax Main"/>
          <w:b/>
          <w:sz w:val="20"/>
          <w:szCs w:val="24"/>
        </w:rPr>
        <w:t>(b)</w:t>
      </w:r>
      <w:r w:rsidRPr="00F93657">
        <w:rPr>
          <w:rFonts w:ascii="STIX" w:eastAsia="Times New Roman" w:hAnsi="STIX"/>
          <w:sz w:val="20"/>
          <w:szCs w:val="24"/>
        </w:rPr>
        <w:t xml:space="preserve"> The average radius can also be computed by integration as</w: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position w:val="-30"/>
          <w:sz w:val="20"/>
          <w:szCs w:val="24"/>
        </w:rPr>
        <w:object w:dxaOrig="1500" w:dyaOrig="920">
          <v:shape id="_x0000_i4672" type="#_x0000_t75" style="width:75pt;height:45.75pt" o:ole="">
            <v:imagedata r:id="rId10" o:title=""/>
          </v:shape>
          <o:OLEObject Type="Embed" ProgID="Equation.DSMT4" ShapeID="_x0000_i4672" DrawAspect="Content" ObjectID="_1552487370" r:id="rId11"/>
        </w:objec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sz w:val="20"/>
          <w:szCs w:val="24"/>
        </w:rPr>
        <w:t>The numerical evaluations can again be determined by a combination of the trapezoidal and Simpson’s rules.</w:t>
      </w:r>
    </w:p>
    <w:p w:rsidR="00F93657" w:rsidRPr="00F93657" w:rsidRDefault="00F93657" w:rsidP="00F93657">
      <w:pPr>
        <w:spacing w:after="0" w:line="240" w:lineRule="auto"/>
        <w:rPr>
          <w:rFonts w:ascii="STIX" w:eastAsia="Times New Roman" w:hAnsi="STIX"/>
          <w:sz w:val="20"/>
          <w:szCs w:val="24"/>
        </w:rPr>
      </w:pPr>
    </w:p>
    <w:tbl>
      <w:tblPr>
        <w:tblW w:w="4425" w:type="dxa"/>
        <w:tblInd w:w="468" w:type="dxa"/>
        <w:tblLook w:val="0000"/>
      </w:tblPr>
      <w:tblGrid>
        <w:gridCol w:w="939"/>
        <w:gridCol w:w="1051"/>
        <w:gridCol w:w="1051"/>
        <w:gridCol w:w="1384"/>
      </w:tblGrid>
      <w:tr w:rsidR="00F93657" w:rsidRPr="00F93657" w:rsidTr="00FF7247">
        <w:trPr>
          <w:trHeight w:val="255"/>
        </w:trPr>
        <w:tc>
          <w:tcPr>
            <w:tcW w:w="939"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20"/>
              </w:rPr>
            </w:pPr>
            <w:r w:rsidRPr="00F93657">
              <w:rPr>
                <w:rFonts w:ascii="STIX" w:eastAsia="Times New Roman" w:hAnsi="STIX" w:cs="STIX MathJax Main"/>
                <w:b/>
                <w:i/>
                <w:sz w:val="18"/>
                <w:szCs w:val="20"/>
              </w:rPr>
              <w:t>x</w:t>
            </w:r>
            <w:r w:rsidRPr="00F93657">
              <w:rPr>
                <w:rFonts w:ascii="STIX" w:eastAsia="Times New Roman" w:hAnsi="STIX" w:cs="STIX MathJax Main"/>
                <w:b/>
                <w:sz w:val="18"/>
                <w:szCs w:val="20"/>
              </w:rPr>
              <w:t>, m</w:t>
            </w:r>
          </w:p>
        </w:tc>
        <w:tc>
          <w:tcPr>
            <w:tcW w:w="1051"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20"/>
              </w:rPr>
            </w:pPr>
            <w:r w:rsidRPr="00F93657">
              <w:rPr>
                <w:rFonts w:ascii="STIX" w:eastAsia="Times New Roman" w:hAnsi="STIX" w:cs="STIX MathJax Main"/>
                <w:b/>
                <w:i/>
                <w:sz w:val="18"/>
                <w:szCs w:val="20"/>
              </w:rPr>
              <w:t>r</w:t>
            </w:r>
            <w:r w:rsidRPr="00F93657">
              <w:rPr>
                <w:rFonts w:ascii="STIX" w:eastAsia="Times New Roman" w:hAnsi="STIX" w:cs="STIX MathJax Main"/>
                <w:b/>
                <w:sz w:val="18"/>
                <w:szCs w:val="20"/>
              </w:rPr>
              <w:t>, m</w:t>
            </w:r>
          </w:p>
        </w:tc>
        <w:tc>
          <w:tcPr>
            <w:tcW w:w="1051"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20"/>
              </w:rPr>
            </w:pPr>
            <w:r w:rsidRPr="00F93657">
              <w:rPr>
                <w:rFonts w:ascii="STIX" w:eastAsia="Times New Roman" w:hAnsi="STIX" w:cs="STIX MathJax Main"/>
                <w:b/>
                <w:sz w:val="18"/>
                <w:szCs w:val="20"/>
              </w:rPr>
              <w:t>integral</w:t>
            </w:r>
          </w:p>
        </w:tc>
        <w:tc>
          <w:tcPr>
            <w:tcW w:w="1384" w:type="dxa"/>
            <w:tcBorders>
              <w:top w:val="single" w:sz="12" w:space="0" w:color="auto"/>
              <w:left w:val="nil"/>
              <w:bottom w:val="single" w:sz="4"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20"/>
              </w:rPr>
            </w:pPr>
            <w:r w:rsidRPr="00F93657">
              <w:rPr>
                <w:rFonts w:ascii="STIX" w:eastAsia="Times New Roman" w:hAnsi="STIX" w:cs="STIX MathJax Main"/>
                <w:b/>
                <w:sz w:val="18"/>
                <w:szCs w:val="20"/>
              </w:rPr>
              <w:t>method</w:t>
            </w:r>
          </w:p>
        </w:tc>
      </w:tr>
      <w:tr w:rsidR="00F93657" w:rsidRPr="00F93657" w:rsidTr="00FF7247">
        <w:trPr>
          <w:trHeight w:val="255"/>
        </w:trPr>
        <w:tc>
          <w:tcPr>
            <w:tcW w:w="939"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w:t>
            </w:r>
          </w:p>
        </w:tc>
        <w:tc>
          <w:tcPr>
            <w:tcW w:w="1051"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0.00200</w:t>
            </w:r>
          </w:p>
        </w:tc>
        <w:tc>
          <w:tcPr>
            <w:tcW w:w="1051"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c>
          <w:tcPr>
            <w:tcW w:w="1384" w:type="dxa"/>
            <w:tcBorders>
              <w:top w:val="single" w:sz="4" w:space="0" w:color="auto"/>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0.02</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0.00135</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c>
          <w:tcPr>
            <w:tcW w:w="1384"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0.04</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0.00134</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5.83E</w:t>
            </w:r>
            <w:r w:rsidRPr="00F93657">
              <w:rPr>
                <w:rFonts w:ascii="Courier New" w:eastAsia="Times New Roman" w:hAnsi="Courier New" w:cs="STIX MathJax Main"/>
                <w:sz w:val="18"/>
                <w:szCs w:val="20"/>
              </w:rPr>
              <w:t>–</w:t>
            </w:r>
            <w:r w:rsidRPr="00F93657">
              <w:rPr>
                <w:rFonts w:ascii="STIX" w:eastAsia="Times New Roman" w:hAnsi="STIX" w:cs="STIX MathJax Main"/>
                <w:sz w:val="18"/>
                <w:szCs w:val="20"/>
              </w:rPr>
              <w:t>05</w:t>
            </w:r>
          </w:p>
        </w:tc>
        <w:tc>
          <w:tcPr>
            <w:tcW w:w="1384"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Simp 1</w:t>
            </w:r>
            <w:r w:rsidRPr="00F93657">
              <w:rPr>
                <w:rFonts w:ascii="Courier New" w:eastAsia="Times New Roman" w:hAnsi="Courier New" w:cs="STIX MathJax Main"/>
                <w:sz w:val="18"/>
                <w:szCs w:val="20"/>
              </w:rPr>
              <w:t>/</w:t>
            </w:r>
            <w:r w:rsidRPr="00F93657">
              <w:rPr>
                <w:rFonts w:ascii="STIX" w:eastAsia="Times New Roman" w:hAnsi="STIX" w:cs="STIX MathJax Main"/>
                <w:sz w:val="18"/>
                <w:szCs w:val="20"/>
              </w:rPr>
              <w:t>3</w:t>
            </w: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0.05</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0.00160</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c>
          <w:tcPr>
            <w:tcW w:w="1384"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0.06</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0.00158</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c>
          <w:tcPr>
            <w:tcW w:w="1384"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r>
      <w:tr w:rsidR="00F93657" w:rsidRPr="00F93657" w:rsidTr="00FF7247">
        <w:trPr>
          <w:trHeight w:val="255"/>
        </w:trPr>
        <w:tc>
          <w:tcPr>
            <w:tcW w:w="939"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0.07</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0.00142</w:t>
            </w:r>
          </w:p>
        </w:tc>
        <w:tc>
          <w:tcPr>
            <w:tcW w:w="1051"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4.61E</w:t>
            </w:r>
            <w:r w:rsidRPr="00F93657">
              <w:rPr>
                <w:rFonts w:ascii="Courier New" w:eastAsia="Times New Roman" w:hAnsi="Courier New" w:cs="STIX MathJax Main"/>
                <w:sz w:val="18"/>
                <w:szCs w:val="20"/>
              </w:rPr>
              <w:t>–</w:t>
            </w:r>
            <w:r w:rsidRPr="00F93657">
              <w:rPr>
                <w:rFonts w:ascii="STIX" w:eastAsia="Times New Roman" w:hAnsi="STIX" w:cs="STIX MathJax Main"/>
                <w:sz w:val="18"/>
                <w:szCs w:val="20"/>
              </w:rPr>
              <w:t>05</w:t>
            </w:r>
          </w:p>
        </w:tc>
        <w:tc>
          <w:tcPr>
            <w:tcW w:w="1384" w:type="dxa"/>
            <w:tcBorders>
              <w:top w:val="nil"/>
              <w:left w:val="nil"/>
              <w:bottom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Simp 3</w:t>
            </w:r>
            <w:r w:rsidRPr="00F93657">
              <w:rPr>
                <w:rFonts w:ascii="Courier New" w:eastAsia="Times New Roman" w:hAnsi="Courier New" w:cs="STIX MathJax Main"/>
                <w:sz w:val="18"/>
                <w:szCs w:val="20"/>
              </w:rPr>
              <w:t>/</w:t>
            </w:r>
            <w:r w:rsidRPr="00F93657">
              <w:rPr>
                <w:rFonts w:ascii="STIX" w:eastAsia="Times New Roman" w:hAnsi="STIX" w:cs="STIX MathJax Main"/>
                <w:sz w:val="18"/>
                <w:szCs w:val="20"/>
              </w:rPr>
              <w:t>8</w:t>
            </w:r>
          </w:p>
        </w:tc>
      </w:tr>
      <w:tr w:rsidR="00F93657" w:rsidRPr="00F93657" w:rsidTr="00FF7247">
        <w:trPr>
          <w:trHeight w:val="255"/>
        </w:trPr>
        <w:tc>
          <w:tcPr>
            <w:tcW w:w="939"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0.1</w:t>
            </w:r>
          </w:p>
        </w:tc>
        <w:tc>
          <w:tcPr>
            <w:tcW w:w="1051"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0.00200</w:t>
            </w:r>
          </w:p>
        </w:tc>
        <w:tc>
          <w:tcPr>
            <w:tcW w:w="1051"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5.13E</w:t>
            </w:r>
            <w:r w:rsidRPr="00F93657">
              <w:rPr>
                <w:rFonts w:ascii="Courier New" w:eastAsia="Times New Roman" w:hAnsi="Courier New" w:cs="STIX MathJax Main"/>
                <w:sz w:val="18"/>
                <w:szCs w:val="20"/>
              </w:rPr>
              <w:t>–</w:t>
            </w:r>
            <w:r w:rsidRPr="00F93657">
              <w:rPr>
                <w:rFonts w:ascii="STIX" w:eastAsia="Times New Roman" w:hAnsi="STIX" w:cs="STIX MathJax Main"/>
                <w:sz w:val="18"/>
                <w:szCs w:val="20"/>
              </w:rPr>
              <w:t>05</w:t>
            </w:r>
          </w:p>
        </w:tc>
        <w:tc>
          <w:tcPr>
            <w:tcW w:w="1384" w:type="dxa"/>
            <w:tcBorders>
              <w:top w:val="nil"/>
              <w:left w:val="nil"/>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sz w:val="18"/>
                <w:szCs w:val="20"/>
              </w:rPr>
              <w:t>Trap</w:t>
            </w:r>
          </w:p>
        </w:tc>
      </w:tr>
      <w:tr w:rsidR="00F93657" w:rsidRPr="00F93657" w:rsidTr="00FF7247">
        <w:trPr>
          <w:trHeight w:val="255"/>
        </w:trPr>
        <w:tc>
          <w:tcPr>
            <w:tcW w:w="939"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c>
          <w:tcPr>
            <w:tcW w:w="1051"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r w:rsidRPr="00F93657">
              <w:rPr>
                <w:rFonts w:ascii="STIX" w:eastAsia="Times New Roman" w:hAnsi="STIX" w:cs="STIX MathJax Main"/>
                <w:b/>
                <w:sz w:val="18"/>
                <w:szCs w:val="20"/>
              </w:rPr>
              <w:t>Sum</w:t>
            </w:r>
            <w:r w:rsidRPr="00F93657">
              <w:rPr>
                <w:rFonts w:ascii="Courier New" w:eastAsia="Times New Roman" w:hAnsi="Courier New" w:cs="STIX MathJax Main"/>
                <w:b/>
                <w:sz w:val="18"/>
                <w:szCs w:val="18"/>
              </w:rPr>
              <w:sym w:font="Symbol" w:char="F0AE"/>
            </w:r>
          </w:p>
        </w:tc>
        <w:tc>
          <w:tcPr>
            <w:tcW w:w="1051"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b/>
                <w:sz w:val="18"/>
                <w:szCs w:val="20"/>
              </w:rPr>
            </w:pPr>
            <w:r w:rsidRPr="00F93657">
              <w:rPr>
                <w:rFonts w:ascii="STIX" w:eastAsia="Times New Roman" w:hAnsi="STIX" w:cs="STIX MathJax Main"/>
                <w:b/>
                <w:sz w:val="18"/>
                <w:szCs w:val="20"/>
              </w:rPr>
              <w:t>0.0001557</w:t>
            </w:r>
          </w:p>
        </w:tc>
        <w:tc>
          <w:tcPr>
            <w:tcW w:w="1384" w:type="dxa"/>
            <w:tcBorders>
              <w:top w:val="nil"/>
              <w:left w:val="nil"/>
              <w:bottom w:val="single" w:sz="12" w:space="0" w:color="auto"/>
              <w:right w:val="nil"/>
            </w:tcBorders>
            <w:noWrap/>
            <w:vAlign w:val="bottom"/>
          </w:tcPr>
          <w:p w:rsidR="00F93657" w:rsidRPr="00F93657" w:rsidRDefault="00F93657" w:rsidP="00F93657">
            <w:pPr>
              <w:spacing w:after="0" w:line="240" w:lineRule="auto"/>
              <w:rPr>
                <w:rFonts w:ascii="STIX MathJax Main" w:eastAsia="Times New Roman" w:hAnsi="STIX MathJax Main" w:cs="STIX MathJax Main"/>
                <w:sz w:val="18"/>
                <w:szCs w:val="20"/>
              </w:rPr>
            </w:pPr>
          </w:p>
        </w:tc>
      </w:tr>
    </w:tbl>
    <w:p w:rsidR="00F93657" w:rsidRPr="00F93657" w:rsidRDefault="00F93657" w:rsidP="00F93657">
      <w:pPr>
        <w:spacing w:after="0" w:line="240" w:lineRule="auto"/>
        <w:rPr>
          <w:rFonts w:ascii="STIX" w:eastAsia="Times New Roman" w:hAnsi="STIX"/>
          <w:sz w:val="20"/>
          <w:szCs w:val="24"/>
        </w:rPr>
      </w:pPr>
    </w:p>
    <w:p w:rsidR="00F93657" w:rsidRDefault="00F93657" w:rsidP="00F93657">
      <w:pPr>
        <w:spacing w:after="0" w:line="240" w:lineRule="auto"/>
        <w:rPr>
          <w:rFonts w:ascii="STIX" w:hAnsi="STIX" w:cs="STIX"/>
          <w:i/>
          <w:sz w:val="20"/>
          <w:szCs w:val="20"/>
        </w:rPr>
        <w:sectPr w:rsidR="00F93657"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sz w:val="20"/>
          <w:szCs w:val="24"/>
        </w:rPr>
        <w:t>Therefore, the average radius is 0.0001557</w:t>
      </w:r>
      <w:r w:rsidRPr="00F93657">
        <w:rPr>
          <w:rFonts w:ascii="Courier New" w:eastAsia="Times New Roman" w:hAnsi="Courier New"/>
          <w:sz w:val="20"/>
          <w:szCs w:val="24"/>
        </w:rPr>
        <w:t>/</w:t>
      </w:r>
      <w:r w:rsidRPr="00F93657">
        <w:rPr>
          <w:rFonts w:ascii="STIX" w:eastAsia="Times New Roman" w:hAnsi="STIX"/>
          <w:sz w:val="20"/>
          <w:szCs w:val="24"/>
        </w:rPr>
        <w:t xml:space="preserve">0.1 </w:t>
      </w:r>
      <w:r w:rsidRPr="00F93657">
        <w:rPr>
          <w:rFonts w:ascii="Courier New" w:eastAsia="Times New Roman" w:hAnsi="Courier New"/>
          <w:sz w:val="20"/>
          <w:szCs w:val="24"/>
        </w:rPr>
        <w:t>=</w:t>
      </w:r>
      <w:r w:rsidRPr="00F93657">
        <w:rPr>
          <w:rFonts w:ascii="STIX" w:eastAsia="Times New Roman" w:hAnsi="STIX"/>
          <w:sz w:val="20"/>
          <w:szCs w:val="24"/>
        </w:rPr>
        <w:t xml:space="preserve"> 0.001557 m. This value can be used to compute a pressure drop of</w: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position w:val="-28"/>
          <w:sz w:val="20"/>
          <w:szCs w:val="24"/>
        </w:rPr>
        <w:object w:dxaOrig="6220" w:dyaOrig="680">
          <v:shape id="_x0000_i4673" type="#_x0000_t75" style="width:311.25pt;height:33.75pt" o:ole="">
            <v:imagedata r:id="rId13" o:title=""/>
          </v:shape>
          <o:OLEObject Type="Embed" ProgID="Equation.DSMT4" ShapeID="_x0000_i4673" DrawAspect="Content" ObjectID="_1552487371" r:id="rId14"/>
        </w:objec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sz w:val="20"/>
          <w:szCs w:val="24"/>
        </w:rPr>
        <w:t>Thus, there is less pressure drop if the radius is at the constant mean value.</w: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szCs w:val="24"/>
        </w:rPr>
      </w:pPr>
      <w:r w:rsidRPr="00F93657">
        <w:rPr>
          <w:rFonts w:ascii="STIX" w:eastAsia="Times New Roman" w:hAnsi="STIX" w:cs="STIX MathJax Main"/>
          <w:b/>
          <w:sz w:val="20"/>
          <w:szCs w:val="24"/>
        </w:rPr>
        <w:t>(c)</w:t>
      </w:r>
      <w:r w:rsidRPr="00F93657">
        <w:rPr>
          <w:rFonts w:ascii="STIX" w:eastAsia="Times New Roman" w:hAnsi="STIX"/>
          <w:sz w:val="20"/>
          <w:szCs w:val="24"/>
        </w:rPr>
        <w:t xml:space="preserve"> The average Reynolds number can be computed by first determining the average velocity as</w:t>
      </w:r>
    </w:p>
    <w:p w:rsidR="00F93657" w:rsidRPr="00F93657" w:rsidRDefault="00F93657" w:rsidP="00F93657">
      <w:pPr>
        <w:spacing w:after="0" w:line="240" w:lineRule="auto"/>
        <w:rPr>
          <w:rFonts w:ascii="STIX" w:eastAsia="Times New Roman" w:hAnsi="STIX"/>
          <w:sz w:val="20"/>
          <w:szCs w:val="24"/>
        </w:rPr>
      </w:pPr>
    </w:p>
    <w:p w:rsidR="00F93657" w:rsidRPr="00F93657" w:rsidRDefault="00F93657" w:rsidP="00F93657">
      <w:pPr>
        <w:spacing w:after="0" w:line="240" w:lineRule="auto"/>
        <w:rPr>
          <w:rFonts w:ascii="STIX" w:eastAsia="Times New Roman" w:hAnsi="STIX"/>
          <w:sz w:val="20"/>
        </w:rPr>
      </w:pPr>
      <w:r w:rsidRPr="00F93657">
        <w:rPr>
          <w:rFonts w:ascii="STIX" w:eastAsia="Times New Roman" w:hAnsi="STIX"/>
          <w:position w:val="-30"/>
          <w:sz w:val="20"/>
          <w:szCs w:val="24"/>
        </w:rPr>
        <w:object w:dxaOrig="5060" w:dyaOrig="700">
          <v:shape id="_x0000_i4674" type="#_x0000_t75" style="width:252.75pt;height:35.25pt" o:ole="">
            <v:imagedata r:id="rId15" o:title=""/>
          </v:shape>
          <o:OLEObject Type="Embed" ProgID="Equation.DSMT4" ShapeID="_x0000_i4674" DrawAspect="Content" ObjectID="_1552487372" r:id="rId16"/>
        </w:object>
      </w:r>
    </w:p>
    <w:p w:rsidR="00F93657" w:rsidRPr="00F93657" w:rsidRDefault="00F93657" w:rsidP="00F93657">
      <w:pPr>
        <w:spacing w:after="0" w:line="240" w:lineRule="auto"/>
        <w:rPr>
          <w:rFonts w:ascii="STIX" w:eastAsia="Times New Roman" w:hAnsi="STIX"/>
          <w:sz w:val="20"/>
        </w:rPr>
      </w:pPr>
    </w:p>
    <w:p w:rsidR="00F93657" w:rsidRPr="00F93657" w:rsidRDefault="00F93657" w:rsidP="00F93657">
      <w:pPr>
        <w:spacing w:after="0" w:line="240" w:lineRule="auto"/>
        <w:rPr>
          <w:rFonts w:ascii="STIX" w:eastAsia="Times New Roman" w:hAnsi="STIX"/>
          <w:sz w:val="20"/>
        </w:rPr>
      </w:pPr>
      <w:r w:rsidRPr="00F93657">
        <w:rPr>
          <w:rFonts w:ascii="STIX" w:eastAsia="Times New Roman" w:hAnsi="STIX"/>
          <w:sz w:val="20"/>
        </w:rPr>
        <w:t>Then the Reynolds number can be computed as</w:t>
      </w:r>
    </w:p>
    <w:p w:rsidR="00F93657" w:rsidRPr="00F93657" w:rsidRDefault="00F93657" w:rsidP="00F93657">
      <w:pPr>
        <w:spacing w:after="0" w:line="240" w:lineRule="auto"/>
        <w:rPr>
          <w:rFonts w:ascii="STIX" w:eastAsia="Times New Roman" w:hAnsi="STIX"/>
          <w:sz w:val="20"/>
        </w:rPr>
      </w:pPr>
    </w:p>
    <w:p w:rsidR="00F93657" w:rsidRPr="00F93657" w:rsidRDefault="00F93657" w:rsidP="00F93657">
      <w:pPr>
        <w:spacing w:after="0" w:line="240" w:lineRule="auto"/>
        <w:rPr>
          <w:rFonts w:ascii="STIX" w:eastAsia="Times New Roman" w:hAnsi="STIX"/>
          <w:sz w:val="20"/>
        </w:rPr>
      </w:pPr>
      <w:r w:rsidRPr="00F93657">
        <w:rPr>
          <w:rFonts w:ascii="STIX" w:eastAsia="Times New Roman" w:hAnsi="STIX"/>
          <w:position w:val="-24"/>
          <w:sz w:val="20"/>
          <w:szCs w:val="24"/>
        </w:rPr>
        <w:object w:dxaOrig="4140" w:dyaOrig="660">
          <v:shape id="_x0000_i4675" type="#_x0000_t75" style="width:207pt;height:33pt" o:ole="">
            <v:imagedata r:id="rId17" o:title=""/>
          </v:shape>
          <o:OLEObject Type="Embed" ProgID="Equation.DSMT4" ShapeID="_x0000_i4675" DrawAspect="Content" ObjectID="_1552487373" r:id="rId18"/>
        </w:object>
      </w:r>
    </w:p>
    <w:p w:rsidR="00696EAA" w:rsidRDefault="00696EAA" w:rsidP="00F93657">
      <w:pPr>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5BAD0-30D5-4B04-B743-77E25FD0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227</Words>
  <Characters>1299</Characters>
  <Application>Microsoft Office Word</Application>
  <DocSecurity>0</DocSecurity>
  <Lines>10</Lines>
  <Paragraphs>3</Paragraphs>
  <ScaleCrop>false</ScaleCrop>
  <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2017-03-31T19:22:00Z</dcterms:created>
  <dcterms:modified xsi:type="dcterms:W3CDTF">2017-03-31T19:22:00Z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