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92DB9" w:rsidRDefault="00512B6C" w:rsidP="00792DB9">
      <w:pPr>
        <w:pStyle w:val="Default"/>
        <w:ind w:right="-450"/>
        <w:rPr>
          <w:b/>
        </w:rPr>
      </w:pPr>
      <w:r w:rsidRPr="00792DB9">
        <w:rPr>
          <w:b/>
        </w:rPr>
        <w:t xml:space="preserve">Problem </w:t>
      </w:r>
      <w:r w:rsidR="00677803" w:rsidRPr="00792DB9">
        <w:rPr>
          <w:b/>
        </w:rPr>
        <w:t>2</w:t>
      </w:r>
      <w:r w:rsidR="00792DB9" w:rsidRPr="00792DB9">
        <w:rPr>
          <w:b/>
        </w:rPr>
        <w:t>2.5</w:t>
      </w:r>
    </w:p>
    <w:p w:rsidR="00792DB9" w:rsidRPr="00792DB9" w:rsidRDefault="00792DB9" w:rsidP="00792DB9">
      <w:pPr>
        <w:autoSpaceDE w:val="0"/>
        <w:autoSpaceDN w:val="0"/>
        <w:adjustRightInd w:val="0"/>
        <w:spacing w:after="0" w:line="240" w:lineRule="auto"/>
        <w:rPr>
          <w:rFonts w:ascii="STIX" w:hAnsi="STIX" w:cs="STIX"/>
          <w:color w:val="000000"/>
          <w:sz w:val="24"/>
          <w:szCs w:val="24"/>
        </w:rPr>
      </w:pPr>
    </w:p>
    <w:p w:rsidR="00792DB9" w:rsidRPr="00792DB9" w:rsidRDefault="00792DB9" w:rsidP="00792DB9">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Although the model in Prob. 22.4 works adequately when population growth is unlimited, it breaks down when factors such as food shortages, pollution, and lack of space inhibit growth. In such cases, the growth rate is not a con</w:t>
      </w:r>
      <w:r w:rsidRPr="00792DB9">
        <w:rPr>
          <w:rFonts w:ascii="STIX" w:hAnsi="STIX" w:cs="STIX"/>
          <w:color w:val="221E1F"/>
          <w:sz w:val="24"/>
          <w:szCs w:val="18"/>
        </w:rPr>
        <w:softHyphen/>
        <w:t xml:space="preserve">stant, but can be formulated as </w:t>
      </w:r>
    </w:p>
    <w:p w:rsidR="00792DB9" w:rsidRDefault="00792DB9" w:rsidP="00792DB9">
      <w:pPr>
        <w:autoSpaceDE w:val="0"/>
        <w:autoSpaceDN w:val="0"/>
        <w:adjustRightInd w:val="0"/>
        <w:spacing w:after="0" w:line="180" w:lineRule="atLeast"/>
        <w:rPr>
          <w:rFonts w:ascii="STIX" w:hAnsi="STIX" w:cs="STIX"/>
          <w:color w:val="221E1F"/>
          <w:sz w:val="24"/>
          <w:szCs w:val="18"/>
        </w:rPr>
      </w:pPr>
    </w:p>
    <w:p w:rsidR="00792DB9" w:rsidRDefault="00792DB9" w:rsidP="00792DB9">
      <w:pPr>
        <w:autoSpaceDE w:val="0"/>
        <w:autoSpaceDN w:val="0"/>
        <w:adjustRightInd w:val="0"/>
        <w:spacing w:after="0" w:line="180" w:lineRule="atLeast"/>
        <w:jc w:val="center"/>
        <w:rPr>
          <w:rFonts w:ascii="STIX" w:hAnsi="STIX" w:cs="STIX"/>
          <w:color w:val="221E1F"/>
          <w:sz w:val="24"/>
          <w:szCs w:val="18"/>
        </w:rPr>
      </w:pPr>
      <w:r w:rsidRPr="00792DB9">
        <w:rPr>
          <w:rFonts w:ascii="STIX" w:hAnsi="STIX" w:cs="STIX"/>
          <w:color w:val="221E1F"/>
          <w:position w:val="-16"/>
          <w:sz w:val="24"/>
          <w:szCs w:val="18"/>
        </w:rPr>
        <w:object w:dxaOrig="2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20.25pt" o:ole="">
            <v:imagedata r:id="rId7" o:title=""/>
          </v:shape>
          <o:OLEObject Type="Embed" ProgID="Equation.DSMT4" ShapeID="_x0000_i1025" DrawAspect="Content" ObjectID="_1552652716" r:id="rId8"/>
        </w:object>
      </w:r>
      <w:r>
        <w:rPr>
          <w:rFonts w:ascii="STIX" w:hAnsi="STIX" w:cs="STIX"/>
          <w:color w:val="221E1F"/>
          <w:sz w:val="24"/>
          <w:szCs w:val="18"/>
        </w:rPr>
        <w:t xml:space="preserve"> </w:t>
      </w:r>
    </w:p>
    <w:p w:rsidR="00792DB9" w:rsidRDefault="00792DB9" w:rsidP="00792DB9">
      <w:pPr>
        <w:autoSpaceDE w:val="0"/>
        <w:autoSpaceDN w:val="0"/>
        <w:adjustRightInd w:val="0"/>
        <w:spacing w:after="0" w:line="180" w:lineRule="atLeast"/>
        <w:rPr>
          <w:rFonts w:ascii="STIX" w:hAnsi="STIX" w:cs="STIX"/>
          <w:color w:val="221E1F"/>
          <w:sz w:val="24"/>
          <w:szCs w:val="18"/>
        </w:rPr>
      </w:pPr>
    </w:p>
    <w:p w:rsidR="00792DB9" w:rsidRPr="00792DB9" w:rsidRDefault="00792DB9" w:rsidP="00792DB9">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where </w:t>
      </w:r>
      <w:r w:rsidRPr="00792DB9">
        <w:rPr>
          <w:rFonts w:ascii="STIX" w:hAnsi="STIX" w:cs="STIX"/>
          <w:i/>
          <w:iCs/>
          <w:color w:val="221E1F"/>
          <w:sz w:val="24"/>
          <w:szCs w:val="18"/>
        </w:rPr>
        <w:t>k</w:t>
      </w:r>
      <w:r w:rsidRPr="009B2C7B">
        <w:rPr>
          <w:rFonts w:ascii="STIX" w:hAnsi="STIX" w:cs="STIX"/>
          <w:i/>
          <w:iCs/>
          <w:color w:val="221E1F"/>
          <w:sz w:val="32"/>
          <w:vertAlign w:val="subscript"/>
        </w:rPr>
        <w:t xml:space="preserve">gm </w:t>
      </w:r>
      <w:r w:rsidRPr="00792DB9">
        <w:rPr>
          <w:rFonts w:ascii="STIX" w:hAnsi="STIX" w:cs="STIX"/>
          <w:color w:val="221E1F"/>
          <w:sz w:val="24"/>
          <w:szCs w:val="18"/>
        </w:rPr>
        <w:t>= the maximum growth rate under unlimited con</w:t>
      </w:r>
      <w:r w:rsidRPr="00792DB9">
        <w:rPr>
          <w:rFonts w:ascii="STIX" w:hAnsi="STIX" w:cs="STIX"/>
          <w:color w:val="221E1F"/>
          <w:sz w:val="24"/>
          <w:szCs w:val="18"/>
        </w:rPr>
        <w:softHyphen/>
        <w:t xml:space="preserve">ditions,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population,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the maximum population. Note that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is sometimes called the </w:t>
      </w:r>
      <w:r w:rsidRPr="00792DB9">
        <w:rPr>
          <w:rFonts w:ascii="STIX" w:hAnsi="STIX" w:cs="STIX"/>
          <w:i/>
          <w:iCs/>
          <w:color w:val="221E1F"/>
          <w:sz w:val="24"/>
          <w:szCs w:val="18"/>
        </w:rPr>
        <w:t xml:space="preserve">carrying capacity. </w:t>
      </w:r>
      <w:r w:rsidRPr="00792DB9">
        <w:rPr>
          <w:rFonts w:ascii="STIX" w:hAnsi="STIX" w:cs="STIX"/>
          <w:color w:val="221E1F"/>
          <w:sz w:val="24"/>
          <w:szCs w:val="18"/>
        </w:rPr>
        <w:t xml:space="preserve">Thus, at low population density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w:t>
      </w:r>
      <w:r w:rsidRPr="00792DB9">
        <w:rPr>
          <w:rFonts w:ascii="STIX" w:hAnsi="STIX" w:cs="STIX"/>
          <w:i/>
          <w:iCs/>
          <w:color w:val="221E1F"/>
          <w:sz w:val="24"/>
        </w:rPr>
        <w:t xml:space="preserve"> </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color w:val="221E1F"/>
          <w:sz w:val="24"/>
          <w:szCs w:val="18"/>
        </w:rPr>
        <w:t xml:space="preserve">. As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approaches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the growth rate approaches zero. Using this growth rate formulation, the rate of change of population can be modeled as </w:t>
      </w:r>
    </w:p>
    <w:p w:rsidR="00792DB9" w:rsidRPr="00792DB9" w:rsidRDefault="009B2C7B" w:rsidP="00792DB9">
      <w:pPr>
        <w:autoSpaceDE w:val="0"/>
        <w:autoSpaceDN w:val="0"/>
        <w:adjustRightInd w:val="0"/>
        <w:spacing w:after="0" w:line="240" w:lineRule="auto"/>
        <w:jc w:val="center"/>
        <w:rPr>
          <w:rFonts w:ascii="STIX" w:hAnsi="STIX" w:cs="STIX"/>
          <w:color w:val="000000"/>
          <w:sz w:val="24"/>
          <w:szCs w:val="24"/>
        </w:rPr>
      </w:pPr>
      <w:r w:rsidRPr="00792DB9">
        <w:rPr>
          <w:rFonts w:ascii="STIX" w:hAnsi="STIX" w:cs="STIX"/>
          <w:color w:val="000000"/>
          <w:position w:val="-24"/>
          <w:sz w:val="24"/>
          <w:szCs w:val="24"/>
        </w:rPr>
        <w:object w:dxaOrig="2439" w:dyaOrig="639">
          <v:shape id="_x0000_i1026" type="#_x0000_t75" style="width:122.25pt;height:32.25pt" o:ole="">
            <v:imagedata r:id="rId9" o:title=""/>
          </v:shape>
          <o:OLEObject Type="Embed" ProgID="Equation.DSMT4" ShapeID="_x0000_i1026" DrawAspect="Content" ObjectID="_1552652717" r:id="rId10"/>
        </w:object>
      </w:r>
      <w:r w:rsidR="00792DB9">
        <w:rPr>
          <w:rFonts w:ascii="STIX" w:hAnsi="STIX" w:cs="STIX"/>
          <w:color w:val="000000"/>
          <w:sz w:val="24"/>
          <w:szCs w:val="24"/>
        </w:rPr>
        <w:t xml:space="preserve"> </w:t>
      </w:r>
    </w:p>
    <w:p w:rsidR="009B2C7B" w:rsidRDefault="009B2C7B" w:rsidP="00792DB9">
      <w:pPr>
        <w:autoSpaceDE w:val="0"/>
        <w:autoSpaceDN w:val="0"/>
        <w:adjustRightInd w:val="0"/>
        <w:spacing w:after="0" w:line="180" w:lineRule="atLeast"/>
        <w:rPr>
          <w:rFonts w:ascii="STIX" w:hAnsi="STIX" w:cs="STIX"/>
          <w:color w:val="221E1F"/>
          <w:sz w:val="24"/>
          <w:szCs w:val="18"/>
        </w:rPr>
      </w:pPr>
    </w:p>
    <w:p w:rsidR="00792DB9" w:rsidRPr="00792DB9" w:rsidRDefault="00792DB9" w:rsidP="00792DB9">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This is referred to as the </w:t>
      </w:r>
      <w:r w:rsidRPr="00792DB9">
        <w:rPr>
          <w:rFonts w:ascii="STIX" w:hAnsi="STIX" w:cs="STIX"/>
          <w:i/>
          <w:iCs/>
          <w:color w:val="221E1F"/>
          <w:sz w:val="24"/>
          <w:szCs w:val="18"/>
        </w:rPr>
        <w:t xml:space="preserve">logistic model. </w:t>
      </w:r>
      <w:r w:rsidRPr="00792DB9">
        <w:rPr>
          <w:rFonts w:ascii="STIX" w:hAnsi="STIX" w:cs="STIX"/>
          <w:color w:val="221E1F"/>
          <w:sz w:val="24"/>
          <w:szCs w:val="18"/>
        </w:rPr>
        <w:t>The analytical solu</w:t>
      </w:r>
      <w:r w:rsidRPr="00792DB9">
        <w:rPr>
          <w:rFonts w:ascii="STIX" w:hAnsi="STIX" w:cs="STIX"/>
          <w:color w:val="221E1F"/>
          <w:sz w:val="24"/>
          <w:szCs w:val="18"/>
        </w:rPr>
        <w:softHyphen/>
        <w:t xml:space="preserve">tion to this model is </w:t>
      </w:r>
    </w:p>
    <w:p w:rsidR="00792DB9" w:rsidRDefault="00792DB9" w:rsidP="00792DB9">
      <w:pPr>
        <w:autoSpaceDE w:val="0"/>
        <w:autoSpaceDN w:val="0"/>
        <w:adjustRightInd w:val="0"/>
        <w:spacing w:after="0" w:line="240" w:lineRule="auto"/>
        <w:rPr>
          <w:rFonts w:ascii="STIX" w:hAnsi="STIX" w:cs="STIX"/>
          <w:color w:val="221E1F"/>
          <w:sz w:val="24"/>
          <w:szCs w:val="18"/>
        </w:rPr>
      </w:pPr>
    </w:p>
    <w:p w:rsidR="00792DB9" w:rsidRDefault="00792DB9" w:rsidP="00792DB9">
      <w:pPr>
        <w:autoSpaceDE w:val="0"/>
        <w:autoSpaceDN w:val="0"/>
        <w:adjustRightInd w:val="0"/>
        <w:spacing w:after="0" w:line="240" w:lineRule="auto"/>
        <w:jc w:val="center"/>
        <w:rPr>
          <w:rFonts w:ascii="STIX" w:hAnsi="STIX" w:cs="STIX"/>
          <w:color w:val="221E1F"/>
          <w:sz w:val="24"/>
          <w:szCs w:val="18"/>
        </w:rPr>
      </w:pPr>
      <w:r w:rsidRPr="00792DB9">
        <w:rPr>
          <w:rFonts w:ascii="STIX" w:hAnsi="STIX" w:cs="STIX"/>
          <w:color w:val="221E1F"/>
          <w:position w:val="-36"/>
          <w:sz w:val="24"/>
          <w:szCs w:val="18"/>
        </w:rPr>
        <w:object w:dxaOrig="3159" w:dyaOrig="780">
          <v:shape id="_x0000_i1027" type="#_x0000_t75" style="width:158.25pt;height:39pt" o:ole="">
            <v:imagedata r:id="rId11" o:title=""/>
          </v:shape>
          <o:OLEObject Type="Embed" ProgID="Equation.DSMT4" ShapeID="_x0000_i1027" DrawAspect="Content" ObjectID="_1552652718" r:id="rId12"/>
        </w:object>
      </w:r>
      <w:r>
        <w:rPr>
          <w:rFonts w:ascii="STIX" w:hAnsi="STIX" w:cs="STIX"/>
          <w:color w:val="221E1F"/>
          <w:sz w:val="24"/>
          <w:szCs w:val="18"/>
        </w:rPr>
        <w:t xml:space="preserve"> </w:t>
      </w:r>
    </w:p>
    <w:p w:rsidR="00792DB9" w:rsidRDefault="00792DB9" w:rsidP="00792DB9">
      <w:pPr>
        <w:autoSpaceDE w:val="0"/>
        <w:autoSpaceDN w:val="0"/>
        <w:adjustRightInd w:val="0"/>
        <w:spacing w:after="0" w:line="240" w:lineRule="auto"/>
        <w:rPr>
          <w:rFonts w:ascii="STIX" w:hAnsi="STIX" w:cs="STIX"/>
          <w:color w:val="221E1F"/>
          <w:sz w:val="24"/>
          <w:szCs w:val="18"/>
        </w:rPr>
      </w:pPr>
    </w:p>
    <w:p w:rsidR="00792DB9" w:rsidRDefault="00792DB9" w:rsidP="00792DB9">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t xml:space="preserve">Simulate the world’s population from 1950 to 2050 using </w:t>
      </w:r>
    </w:p>
    <w:p w:rsidR="00792DB9" w:rsidRDefault="00792DB9" w:rsidP="00792DB9">
      <w:pPr>
        <w:autoSpaceDE w:val="0"/>
        <w:autoSpaceDN w:val="0"/>
        <w:adjustRightInd w:val="0"/>
        <w:spacing w:after="0" w:line="240" w:lineRule="auto"/>
        <w:rPr>
          <w:rFonts w:ascii="STIX" w:hAnsi="STIX" w:cs="STIX"/>
          <w:color w:val="221E1F"/>
          <w:sz w:val="24"/>
          <w:szCs w:val="18"/>
        </w:rPr>
      </w:pPr>
    </w:p>
    <w:p w:rsidR="00792DB9" w:rsidRDefault="00792DB9" w:rsidP="00792DB9">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(a) </w:t>
      </w:r>
      <w:r w:rsidRPr="00792DB9">
        <w:rPr>
          <w:rFonts w:ascii="STIX" w:hAnsi="STIX" w:cs="STIX"/>
          <w:color w:val="221E1F"/>
          <w:sz w:val="24"/>
          <w:szCs w:val="18"/>
        </w:rPr>
        <w:t xml:space="preserve">the analytical solution and </w:t>
      </w:r>
    </w:p>
    <w:p w:rsidR="00792DB9" w:rsidRDefault="00792DB9" w:rsidP="00792DB9">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(b) </w:t>
      </w:r>
      <w:r w:rsidRPr="00792DB9">
        <w:rPr>
          <w:rFonts w:ascii="STIX" w:hAnsi="STIX" w:cs="STIX"/>
          <w:color w:val="221E1F"/>
          <w:sz w:val="24"/>
          <w:szCs w:val="18"/>
        </w:rPr>
        <w:t xml:space="preserve">the fourth-order RK method with a step size of 5 years. </w:t>
      </w:r>
    </w:p>
    <w:p w:rsidR="00792DB9" w:rsidRDefault="00792DB9" w:rsidP="00792DB9">
      <w:pPr>
        <w:autoSpaceDE w:val="0"/>
        <w:autoSpaceDN w:val="0"/>
        <w:adjustRightInd w:val="0"/>
        <w:spacing w:after="0" w:line="240" w:lineRule="auto"/>
        <w:rPr>
          <w:rFonts w:ascii="STIX" w:hAnsi="STIX" w:cs="STIX"/>
          <w:color w:val="221E1F"/>
          <w:sz w:val="24"/>
          <w:szCs w:val="18"/>
        </w:rPr>
      </w:pPr>
    </w:p>
    <w:p w:rsidR="00792DB9" w:rsidRDefault="00792DB9" w:rsidP="00792DB9">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t xml:space="preserve">Employ the following initial conditions and parameter values for your simulation: </w:t>
      </w:r>
      <w:r w:rsidR="00D914E5">
        <w:rPr>
          <w:rFonts w:ascii="STIX" w:hAnsi="STIX" w:cs="STIX"/>
          <w:color w:val="221E1F"/>
          <w:sz w:val="24"/>
          <w:szCs w:val="18"/>
        </w:rPr>
        <w:br w:type="textWrapping" w:clear="all"/>
      </w:r>
      <w:r w:rsidRPr="00792DB9">
        <w:rPr>
          <w:rFonts w:ascii="STIX" w:hAnsi="STIX" w:cs="STIX"/>
          <w:i/>
          <w:iCs/>
          <w:color w:val="221E1F"/>
          <w:sz w:val="24"/>
          <w:szCs w:val="18"/>
        </w:rPr>
        <w:t>p</w:t>
      </w:r>
      <w:r w:rsidRPr="00792DB9">
        <w:rPr>
          <w:rFonts w:ascii="STIX" w:hAnsi="STIX" w:cs="STIX"/>
          <w:color w:val="221E1F"/>
          <w:sz w:val="32"/>
          <w:vertAlign w:val="subscript"/>
        </w:rPr>
        <w:t>0</w:t>
      </w:r>
      <w:r w:rsidRPr="00792DB9">
        <w:rPr>
          <w:rFonts w:ascii="STIX" w:hAnsi="STIX" w:cs="STIX"/>
          <w:color w:val="221E1F"/>
          <w:sz w:val="24"/>
        </w:rPr>
        <w:t xml:space="preserve"> </w:t>
      </w:r>
      <w:r w:rsidRPr="00792DB9">
        <w:rPr>
          <w:rFonts w:ascii="STIX" w:hAnsi="STIX" w:cs="STIX"/>
          <w:color w:val="221E1F"/>
          <w:sz w:val="24"/>
          <w:szCs w:val="18"/>
        </w:rPr>
        <w:t xml:space="preserve">(in 1950) = 2555 million people,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i/>
          <w:iCs/>
          <w:color w:val="221E1F"/>
          <w:sz w:val="24"/>
        </w:rPr>
        <w:t xml:space="preserve"> </w:t>
      </w:r>
      <w:r w:rsidRPr="00792DB9">
        <w:rPr>
          <w:rFonts w:ascii="STIX" w:hAnsi="STIX" w:cs="STIX"/>
          <w:color w:val="221E1F"/>
          <w:sz w:val="24"/>
          <w:szCs w:val="18"/>
        </w:rPr>
        <w:t xml:space="preserve">= 0.026/yr,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12,000 million people. Display your results as a plot along with the data from Prob. 22.4. </w:t>
      </w:r>
    </w:p>
    <w:p w:rsidR="009B2C7B" w:rsidRDefault="009B2C7B" w:rsidP="00792DB9">
      <w:pPr>
        <w:autoSpaceDE w:val="0"/>
        <w:autoSpaceDN w:val="0"/>
        <w:adjustRightInd w:val="0"/>
        <w:spacing w:after="0" w:line="240" w:lineRule="auto"/>
        <w:rPr>
          <w:rFonts w:ascii="STIX" w:hAnsi="STIX" w:cs="STIX"/>
          <w:color w:val="221E1F"/>
          <w:sz w:val="24"/>
          <w:szCs w:val="18"/>
        </w:rPr>
      </w:pPr>
    </w:p>
    <w:p w:rsidR="009B2C7B" w:rsidRPr="00BF660B" w:rsidRDefault="009B2C7B" w:rsidP="009B2C7B">
      <w:pPr>
        <w:rPr>
          <w:rFonts w:ascii="STIX" w:hAnsi="STIX" w:cs="STIX"/>
          <w:sz w:val="24"/>
          <w:szCs w:val="24"/>
        </w:rPr>
      </w:pPr>
      <w:r w:rsidRPr="00BF660B">
        <w:rPr>
          <w:rFonts w:ascii="STIX" w:hAnsi="STIX" w:cs="STIX"/>
          <w:i/>
          <w:sz w:val="24"/>
          <w:szCs w:val="24"/>
        </w:rPr>
        <w:t>Problem continued on next page...</w:t>
      </w:r>
    </w:p>
    <w:p w:rsidR="009B2C7B" w:rsidRDefault="009B2C7B" w:rsidP="00792DB9">
      <w:pPr>
        <w:autoSpaceDE w:val="0"/>
        <w:autoSpaceDN w:val="0"/>
        <w:adjustRightInd w:val="0"/>
        <w:spacing w:after="0" w:line="240" w:lineRule="auto"/>
        <w:rPr>
          <w:rFonts w:ascii="STIX" w:hAnsi="STIX" w:cs="STIX"/>
          <w:sz w:val="24"/>
          <w:szCs w:val="24"/>
        </w:rPr>
        <w:sectPr w:rsidR="009B2C7B" w:rsidSect="003B34E6">
          <w:footerReference w:type="default" r:id="rId13"/>
          <w:pgSz w:w="12240" w:h="15840"/>
          <w:pgMar w:top="1440" w:right="990" w:bottom="1440" w:left="1440" w:header="720" w:footer="720" w:gutter="0"/>
          <w:cols w:space="720"/>
          <w:docGrid w:linePitch="360"/>
        </w:sectPr>
      </w:pPr>
    </w:p>
    <w:p w:rsidR="009B2C7B" w:rsidRPr="009B2C7B" w:rsidRDefault="009B2C7B" w:rsidP="009B2C7B">
      <w:pPr>
        <w:pStyle w:val="Default"/>
        <w:ind w:right="-450"/>
        <w:rPr>
          <w:b/>
          <w:i/>
        </w:rPr>
      </w:pPr>
      <w:r w:rsidRPr="009B2C7B">
        <w:rPr>
          <w:b/>
          <w:i/>
        </w:rPr>
        <w:lastRenderedPageBreak/>
        <w:t>Problem 22.4</w:t>
      </w:r>
    </w:p>
    <w:p w:rsidR="009B2C7B" w:rsidRPr="004C64C3" w:rsidRDefault="009B2C7B" w:rsidP="009B2C7B">
      <w:pPr>
        <w:autoSpaceDE w:val="0"/>
        <w:autoSpaceDN w:val="0"/>
        <w:adjustRightInd w:val="0"/>
        <w:spacing w:after="0" w:line="240" w:lineRule="auto"/>
        <w:rPr>
          <w:rFonts w:ascii="STIX" w:hAnsi="STIX" w:cs="STIX"/>
          <w:color w:val="211D1E"/>
          <w:sz w:val="24"/>
          <w:szCs w:val="18"/>
        </w:rPr>
      </w:pPr>
    </w:p>
    <w:p w:rsidR="009B2C7B" w:rsidRPr="004C64C3" w:rsidRDefault="009B2C7B" w:rsidP="009B2C7B">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The growth of populations of organisms has many engineering and scientific applications. One of the simplest models assumes that the rate of change of the population </w:t>
      </w:r>
      <w:r w:rsidRPr="004C64C3">
        <w:rPr>
          <w:rFonts w:ascii="STIX" w:hAnsi="STIX" w:cs="STIX"/>
          <w:i/>
          <w:iCs/>
          <w:color w:val="221E1F"/>
          <w:sz w:val="24"/>
          <w:szCs w:val="18"/>
        </w:rPr>
        <w:t xml:space="preserve">p </w:t>
      </w:r>
      <w:r w:rsidRPr="004C64C3">
        <w:rPr>
          <w:rFonts w:ascii="STIX" w:hAnsi="STIX" w:cs="STIX"/>
          <w:color w:val="221E1F"/>
          <w:sz w:val="24"/>
          <w:szCs w:val="18"/>
        </w:rPr>
        <w:t xml:space="preserve">is proportional to the existing population at any time </w:t>
      </w:r>
      <w:r w:rsidRPr="004C64C3">
        <w:rPr>
          <w:rFonts w:ascii="STIX" w:hAnsi="STIX" w:cs="STIX"/>
          <w:i/>
          <w:iCs/>
          <w:color w:val="221E1F"/>
          <w:sz w:val="24"/>
          <w:szCs w:val="18"/>
        </w:rPr>
        <w:t>t</w:t>
      </w:r>
      <w:r w:rsidRPr="004C64C3">
        <w:rPr>
          <w:rFonts w:ascii="STIX" w:hAnsi="STIX" w:cs="STIX"/>
          <w:color w:val="221E1F"/>
          <w:sz w:val="24"/>
          <w:szCs w:val="18"/>
        </w:rPr>
        <w:t xml:space="preserve">: </w:t>
      </w:r>
    </w:p>
    <w:p w:rsidR="009B2C7B" w:rsidRDefault="009B2C7B" w:rsidP="009B2C7B">
      <w:pPr>
        <w:autoSpaceDE w:val="0"/>
        <w:autoSpaceDN w:val="0"/>
        <w:adjustRightInd w:val="0"/>
        <w:spacing w:after="0" w:line="180" w:lineRule="atLeast"/>
        <w:rPr>
          <w:rFonts w:ascii="STIX" w:hAnsi="STIX" w:cs="STIX"/>
          <w:color w:val="221E1F"/>
          <w:sz w:val="24"/>
          <w:szCs w:val="18"/>
        </w:rPr>
      </w:pPr>
    </w:p>
    <w:p w:rsidR="009B2C7B" w:rsidRDefault="009B2C7B" w:rsidP="009B2C7B">
      <w:pPr>
        <w:autoSpaceDE w:val="0"/>
        <w:autoSpaceDN w:val="0"/>
        <w:adjustRightInd w:val="0"/>
        <w:spacing w:after="0" w:line="180" w:lineRule="atLeast"/>
        <w:jc w:val="center"/>
        <w:rPr>
          <w:rFonts w:ascii="STIX" w:hAnsi="STIX" w:cs="STIX"/>
          <w:color w:val="221E1F"/>
          <w:sz w:val="24"/>
          <w:szCs w:val="18"/>
        </w:rPr>
      </w:pPr>
      <w:r w:rsidRPr="004C64C3">
        <w:rPr>
          <w:rFonts w:ascii="STIX" w:hAnsi="STIX" w:cs="STIX"/>
          <w:color w:val="221E1F"/>
          <w:position w:val="-24"/>
          <w:sz w:val="24"/>
          <w:szCs w:val="18"/>
        </w:rPr>
        <w:object w:dxaOrig="940" w:dyaOrig="639">
          <v:shape id="_x0000_i1028" type="#_x0000_t75" style="width:47.25pt;height:32.25pt" o:ole="">
            <v:imagedata r:id="rId14" o:title=""/>
          </v:shape>
          <o:OLEObject Type="Embed" ProgID="Equation.DSMT4" ShapeID="_x0000_i1028" DrawAspect="Content" ObjectID="_1552652719" r:id="rId15"/>
        </w:object>
      </w:r>
      <w:r>
        <w:rPr>
          <w:rFonts w:ascii="STIX" w:hAnsi="STIX" w:cs="STIX"/>
          <w:color w:val="221E1F"/>
          <w:sz w:val="24"/>
          <w:szCs w:val="18"/>
        </w:rPr>
        <w:t xml:space="preserve">                         </w:t>
      </w:r>
      <w:r w:rsidRPr="004C64C3">
        <w:rPr>
          <w:rFonts w:ascii="STIX" w:hAnsi="STIX" w:cs="STIX"/>
          <w:color w:val="221E1F"/>
          <w:position w:val="-14"/>
          <w:sz w:val="24"/>
          <w:szCs w:val="18"/>
        </w:rPr>
        <w:object w:dxaOrig="999" w:dyaOrig="400">
          <v:shape id="_x0000_i1029" type="#_x0000_t75" style="width:50.25pt;height:20.25pt" o:ole="">
            <v:imagedata r:id="rId16" o:title=""/>
          </v:shape>
          <o:OLEObject Type="Embed" ProgID="Equation.DSMT4" ShapeID="_x0000_i1029" DrawAspect="Content" ObjectID="_1552652720" r:id="rId17"/>
        </w:object>
      </w:r>
    </w:p>
    <w:p w:rsidR="009B2C7B" w:rsidRDefault="009B2C7B" w:rsidP="009B2C7B">
      <w:pPr>
        <w:autoSpaceDE w:val="0"/>
        <w:autoSpaceDN w:val="0"/>
        <w:adjustRightInd w:val="0"/>
        <w:spacing w:after="0" w:line="180" w:lineRule="atLeast"/>
        <w:rPr>
          <w:rFonts w:ascii="STIX" w:hAnsi="STIX" w:cs="STIX"/>
          <w:color w:val="221E1F"/>
          <w:sz w:val="24"/>
          <w:szCs w:val="18"/>
        </w:rPr>
      </w:pPr>
    </w:p>
    <w:p w:rsidR="009B2C7B" w:rsidRPr="004C64C3" w:rsidRDefault="009B2C7B" w:rsidP="009B2C7B">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where </w:t>
      </w:r>
      <w:r w:rsidRPr="004C64C3">
        <w:rPr>
          <w:rFonts w:ascii="STIX" w:hAnsi="STIX" w:cs="STIX"/>
          <w:i/>
          <w:iCs/>
          <w:color w:val="221E1F"/>
          <w:sz w:val="24"/>
          <w:szCs w:val="18"/>
        </w:rPr>
        <w:t>k</w:t>
      </w:r>
      <w:r w:rsidRPr="004C64C3">
        <w:rPr>
          <w:rFonts w:ascii="STIX" w:hAnsi="STIX" w:cs="STIX"/>
          <w:i/>
          <w:iCs/>
          <w:color w:val="221E1F"/>
          <w:sz w:val="32"/>
          <w:vertAlign w:val="subscript"/>
        </w:rPr>
        <w:t>g</w:t>
      </w:r>
      <w:r w:rsidRPr="004C64C3">
        <w:rPr>
          <w:rFonts w:ascii="STIX" w:hAnsi="STIX" w:cs="STIX"/>
          <w:i/>
          <w:iCs/>
          <w:color w:val="221E1F"/>
          <w:sz w:val="24"/>
        </w:rPr>
        <w:t xml:space="preserve"> </w:t>
      </w:r>
      <w:r w:rsidRPr="004C64C3">
        <w:rPr>
          <w:rFonts w:ascii="STIX" w:hAnsi="STIX" w:cs="STIX"/>
          <w:color w:val="221E1F"/>
          <w:sz w:val="24"/>
          <w:szCs w:val="18"/>
        </w:rPr>
        <w:t xml:space="preserve">= the growth rate. The world population in millions from 1950 through 2000 was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6"/>
        <w:gridCol w:w="716"/>
        <w:gridCol w:w="716"/>
        <w:gridCol w:w="716"/>
        <w:gridCol w:w="716"/>
        <w:gridCol w:w="716"/>
        <w:gridCol w:w="716"/>
        <w:gridCol w:w="716"/>
        <w:gridCol w:w="716"/>
        <w:gridCol w:w="716"/>
        <w:gridCol w:w="716"/>
        <w:gridCol w:w="716"/>
      </w:tblGrid>
      <w:tr w:rsidR="009B2C7B" w:rsidRPr="004C64C3" w:rsidTr="00CB35EA">
        <w:tc>
          <w:tcPr>
            <w:tcW w:w="716" w:type="dxa"/>
          </w:tcPr>
          <w:p w:rsidR="009B2C7B" w:rsidRPr="004C64C3" w:rsidRDefault="009B2C7B" w:rsidP="00CB35EA">
            <w:pPr>
              <w:autoSpaceDE w:val="0"/>
              <w:autoSpaceDN w:val="0"/>
              <w:adjustRightInd w:val="0"/>
              <w:spacing w:before="340" w:after="0" w:line="160" w:lineRule="atLeast"/>
              <w:rPr>
                <w:rFonts w:ascii="STIX" w:hAnsi="STIX" w:cs="STIX"/>
                <w:b/>
                <w:bCs/>
                <w:i/>
                <w:iCs/>
                <w:color w:val="221E1F"/>
                <w:sz w:val="24"/>
                <w:szCs w:val="16"/>
              </w:rPr>
            </w:pPr>
            <w:r w:rsidRPr="004C64C3">
              <w:rPr>
                <w:rFonts w:ascii="STIX" w:hAnsi="STIX" w:cs="STIX"/>
                <w:b/>
                <w:bCs/>
                <w:i/>
                <w:iCs/>
                <w:color w:val="221E1F"/>
                <w:sz w:val="24"/>
                <w:szCs w:val="16"/>
              </w:rPr>
              <w:t>t</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1950</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1955</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1960</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1965</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1970</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1975</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1980</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1985</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1990</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1995</w:t>
            </w:r>
          </w:p>
        </w:tc>
        <w:tc>
          <w:tcPr>
            <w:tcW w:w="716" w:type="dxa"/>
          </w:tcPr>
          <w:p w:rsidR="009B2C7B" w:rsidRPr="004C64C3" w:rsidRDefault="009B2C7B"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2000</w:t>
            </w:r>
          </w:p>
        </w:tc>
      </w:tr>
      <w:tr w:rsidR="009B2C7B" w:rsidRPr="004C64C3" w:rsidTr="00CB35EA">
        <w:tc>
          <w:tcPr>
            <w:tcW w:w="716" w:type="dxa"/>
          </w:tcPr>
          <w:p w:rsidR="009B2C7B" w:rsidRPr="004C64C3" w:rsidRDefault="009B2C7B" w:rsidP="00CB35EA">
            <w:pPr>
              <w:autoSpaceDE w:val="0"/>
              <w:autoSpaceDN w:val="0"/>
              <w:adjustRightInd w:val="0"/>
              <w:spacing w:after="0" w:line="240" w:lineRule="auto"/>
              <w:rPr>
                <w:rFonts w:ascii="STIX" w:hAnsi="STIX" w:cs="STIX"/>
                <w:b/>
                <w:bCs/>
                <w:i/>
                <w:iCs/>
                <w:color w:val="221E1F"/>
                <w:sz w:val="24"/>
                <w:szCs w:val="16"/>
              </w:rPr>
            </w:pPr>
            <w:r w:rsidRPr="004C64C3">
              <w:rPr>
                <w:rFonts w:ascii="STIX" w:hAnsi="STIX" w:cs="STIX"/>
                <w:b/>
                <w:bCs/>
                <w:i/>
                <w:iCs/>
                <w:color w:val="221E1F"/>
                <w:sz w:val="24"/>
                <w:szCs w:val="16"/>
              </w:rPr>
              <w:t>p</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2555</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2780</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3040</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3346</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3708</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4087</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4454</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4850</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5276</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5686</w:t>
            </w:r>
          </w:p>
        </w:tc>
        <w:tc>
          <w:tcPr>
            <w:tcW w:w="716" w:type="dxa"/>
          </w:tcPr>
          <w:p w:rsidR="009B2C7B" w:rsidRPr="004C64C3" w:rsidRDefault="009B2C7B"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6079</w:t>
            </w:r>
          </w:p>
        </w:tc>
      </w:tr>
    </w:tbl>
    <w:p w:rsidR="009B2C7B" w:rsidRPr="004C64C3" w:rsidRDefault="009B2C7B" w:rsidP="009B2C7B">
      <w:pPr>
        <w:autoSpaceDE w:val="0"/>
        <w:autoSpaceDN w:val="0"/>
        <w:adjustRightInd w:val="0"/>
        <w:spacing w:after="0" w:line="240" w:lineRule="auto"/>
        <w:rPr>
          <w:rFonts w:ascii="STIX" w:hAnsi="STIX" w:cs="STIX"/>
          <w:color w:val="221E1F"/>
          <w:sz w:val="24"/>
          <w:szCs w:val="16"/>
        </w:rPr>
      </w:pPr>
    </w:p>
    <w:p w:rsidR="009B2C7B" w:rsidRPr="004C64C3" w:rsidRDefault="009B2C7B" w:rsidP="009B2C7B">
      <w:pPr>
        <w:autoSpaceDE w:val="0"/>
        <w:autoSpaceDN w:val="0"/>
        <w:adjustRightInd w:val="0"/>
        <w:spacing w:after="0" w:line="240" w:lineRule="auto"/>
        <w:rPr>
          <w:rFonts w:ascii="STIX" w:hAnsi="STIX" w:cs="STIX"/>
          <w:color w:val="000000"/>
          <w:sz w:val="24"/>
          <w:szCs w:val="24"/>
        </w:rPr>
      </w:pPr>
    </w:p>
    <w:p w:rsidR="009B2C7B" w:rsidRPr="004C64C3" w:rsidRDefault="009B2C7B" w:rsidP="009B2C7B">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(a) </w:t>
      </w:r>
      <w:r w:rsidRPr="004C64C3">
        <w:rPr>
          <w:rFonts w:ascii="STIX" w:hAnsi="STIX" w:cs="STIX"/>
          <w:color w:val="221E1F"/>
          <w:sz w:val="24"/>
          <w:szCs w:val="24"/>
        </w:rPr>
        <w:t xml:space="preserve">Assuming that Eq. (P22.4.1) holds, use the data from 1950 through 1970 to estimate </w:t>
      </w:r>
      <w:r w:rsidRPr="004C64C3">
        <w:rPr>
          <w:rFonts w:ascii="STIX" w:hAnsi="STIX" w:cs="STIX"/>
          <w:i/>
          <w:iCs/>
          <w:color w:val="221E1F"/>
          <w:sz w:val="24"/>
          <w:szCs w:val="24"/>
        </w:rPr>
        <w:t>k</w:t>
      </w:r>
      <w:r w:rsidRPr="004C64C3">
        <w:rPr>
          <w:rFonts w:ascii="STIX" w:hAnsi="STIX" w:cs="STIX"/>
          <w:i/>
          <w:iCs/>
          <w:color w:val="221E1F"/>
          <w:sz w:val="32"/>
          <w:szCs w:val="24"/>
          <w:vertAlign w:val="subscript"/>
        </w:rPr>
        <w:t>g</w:t>
      </w:r>
      <w:r w:rsidRPr="004C64C3">
        <w:rPr>
          <w:rFonts w:ascii="STIX" w:hAnsi="STIX" w:cs="STIX"/>
          <w:color w:val="221E1F"/>
          <w:sz w:val="24"/>
          <w:szCs w:val="24"/>
        </w:rPr>
        <w:t xml:space="preserve">. </w:t>
      </w:r>
    </w:p>
    <w:p w:rsidR="009B2C7B" w:rsidRDefault="009B2C7B" w:rsidP="009B2C7B">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(b) </w:t>
      </w:r>
      <w:r w:rsidRPr="004C64C3">
        <w:rPr>
          <w:rFonts w:ascii="STIX" w:hAnsi="STIX" w:cs="STIX"/>
          <w:color w:val="221E1F"/>
          <w:sz w:val="24"/>
          <w:szCs w:val="24"/>
        </w:rPr>
        <w:t xml:space="preserve">Use the fourth-order RK method along with the results of </w:t>
      </w:r>
      <w:r w:rsidRPr="004C64C3">
        <w:rPr>
          <w:rFonts w:ascii="STIX" w:hAnsi="STIX" w:cs="STIX"/>
          <w:b/>
          <w:bCs/>
          <w:color w:val="221E1F"/>
          <w:sz w:val="24"/>
          <w:szCs w:val="24"/>
        </w:rPr>
        <w:t xml:space="preserve">(a) </w:t>
      </w:r>
      <w:r w:rsidRPr="004C64C3">
        <w:rPr>
          <w:rFonts w:ascii="STIX" w:hAnsi="STIX" w:cs="STIX"/>
          <w:color w:val="221E1F"/>
          <w:sz w:val="24"/>
          <w:szCs w:val="24"/>
        </w:rPr>
        <w:t xml:space="preserve">to stimulate the world population from 1950 to 2050 with a step size of 5 years. </w:t>
      </w:r>
    </w:p>
    <w:p w:rsidR="009B2C7B" w:rsidRDefault="009B2C7B" w:rsidP="009B2C7B">
      <w:pPr>
        <w:autoSpaceDE w:val="0"/>
        <w:autoSpaceDN w:val="0"/>
        <w:adjustRightInd w:val="0"/>
        <w:spacing w:after="0" w:line="240" w:lineRule="auto"/>
        <w:rPr>
          <w:rFonts w:ascii="STIX" w:hAnsi="STIX" w:cs="STIX"/>
          <w:color w:val="221E1F"/>
          <w:sz w:val="24"/>
          <w:szCs w:val="24"/>
        </w:rPr>
      </w:pPr>
    </w:p>
    <w:p w:rsidR="009B2C7B" w:rsidRPr="004C64C3" w:rsidRDefault="009B2C7B" w:rsidP="009B2C7B">
      <w:pPr>
        <w:autoSpaceDE w:val="0"/>
        <w:autoSpaceDN w:val="0"/>
        <w:adjustRightInd w:val="0"/>
        <w:spacing w:after="0" w:line="240" w:lineRule="auto"/>
        <w:rPr>
          <w:rFonts w:ascii="STIX" w:hAnsi="STIX" w:cs="STIX"/>
          <w:color w:val="221E1F"/>
          <w:sz w:val="24"/>
          <w:szCs w:val="24"/>
        </w:rPr>
      </w:pPr>
      <w:r w:rsidRPr="004C64C3">
        <w:rPr>
          <w:rFonts w:ascii="STIX" w:hAnsi="STIX" w:cs="STIX"/>
          <w:color w:val="221E1F"/>
          <w:sz w:val="24"/>
          <w:szCs w:val="24"/>
        </w:rPr>
        <w:t xml:space="preserve">Display your simulation results along with the data on a plot. </w:t>
      </w:r>
    </w:p>
    <w:p w:rsidR="009B2C7B" w:rsidRPr="004C64C3" w:rsidRDefault="009B2C7B" w:rsidP="009B2C7B">
      <w:pPr>
        <w:autoSpaceDE w:val="0"/>
        <w:autoSpaceDN w:val="0"/>
        <w:adjustRightInd w:val="0"/>
        <w:spacing w:after="0" w:line="240" w:lineRule="auto"/>
        <w:rPr>
          <w:rFonts w:ascii="STIX" w:hAnsi="STIX" w:cs="STIX"/>
          <w:sz w:val="24"/>
          <w:szCs w:val="24"/>
        </w:rPr>
      </w:pPr>
    </w:p>
    <w:p w:rsidR="009B2C7B" w:rsidRPr="00792DB9" w:rsidRDefault="009B2C7B" w:rsidP="00792DB9">
      <w:pPr>
        <w:autoSpaceDE w:val="0"/>
        <w:autoSpaceDN w:val="0"/>
        <w:adjustRightInd w:val="0"/>
        <w:spacing w:after="0" w:line="240" w:lineRule="auto"/>
        <w:rPr>
          <w:rFonts w:ascii="STIX" w:hAnsi="STIX" w:cs="STIX"/>
          <w:sz w:val="24"/>
          <w:szCs w:val="24"/>
        </w:rPr>
      </w:pPr>
    </w:p>
    <w:sectPr w:rsidR="009B2C7B" w:rsidRPr="00792DB9" w:rsidSect="003B34E6">
      <w:footerReference w:type="default" r:id="rId1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551"/>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4E5"/>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2017-03-20T19:45:00Z</dcterms:created>
  <dcterms:modified xsi:type="dcterms:W3CDTF">2017-04-02T21:28:00Z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