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8C6CDE">
        <w:rPr>
          <w:b/>
          <w:noProof/>
          <w:sz w:val="20"/>
          <w:szCs w:val="20"/>
        </w:rPr>
        <w:t>2.5</w:t>
      </w:r>
    </w:p>
    <w:p w:rsidR="005375C4" w:rsidRDefault="005375C4" w:rsidP="005375C4">
      <w:pPr>
        <w:spacing w:after="0" w:line="240" w:lineRule="auto"/>
        <w:rPr>
          <w:rFonts w:ascii="STIX" w:eastAsia="Times New Roman" w:hAnsi="STIX"/>
          <w:sz w:val="20"/>
          <w:szCs w:val="24"/>
        </w:rPr>
      </w:pPr>
    </w:p>
    <w:p w:rsidR="008C6CDE" w:rsidRPr="008C6CDE" w:rsidRDefault="008C6CDE" w:rsidP="008C6CDE">
      <w:pPr>
        <w:spacing w:after="0" w:line="240" w:lineRule="auto"/>
        <w:rPr>
          <w:rFonts w:ascii="STIX" w:eastAsia="Times New Roman" w:hAnsi="STIX"/>
          <w:sz w:val="20"/>
          <w:szCs w:val="24"/>
          <w:lang w:val="en-GB"/>
        </w:rPr>
      </w:pPr>
      <w:r w:rsidRPr="008C6CDE">
        <w:rPr>
          <w:rFonts w:ascii="STIX" w:eastAsia="Times New Roman" w:hAnsi="STIX"/>
          <w:b/>
          <w:sz w:val="20"/>
          <w:szCs w:val="24"/>
          <w:lang w:val="en-GB"/>
        </w:rPr>
        <w:t xml:space="preserve">(a) </w:t>
      </w:r>
      <w:r w:rsidRPr="008C6CDE">
        <w:rPr>
          <w:rFonts w:ascii="STIX" w:eastAsia="Times New Roman" w:hAnsi="STIX"/>
          <w:sz w:val="20"/>
          <w:szCs w:val="24"/>
          <w:lang w:val="en-GB"/>
        </w:rPr>
        <w:t xml:space="preserve">The analytical solution can be used to compute values at times over the range. For example, the value at </w:t>
      </w:r>
      <w:r w:rsidRPr="008C6CDE">
        <w:rPr>
          <w:rFonts w:ascii="STIX" w:eastAsia="Times New Roman" w:hAnsi="STIX"/>
          <w:i/>
          <w:sz w:val="20"/>
          <w:szCs w:val="24"/>
          <w:lang w:val="en-GB"/>
        </w:rPr>
        <w:t>t</w:t>
      </w:r>
      <w:r w:rsidRPr="008C6CDE">
        <w:rPr>
          <w:rFonts w:ascii="STIX" w:eastAsia="Times New Roman" w:hAnsi="STIX"/>
          <w:sz w:val="20"/>
          <w:szCs w:val="24"/>
          <w:lang w:val="en-GB"/>
        </w:rPr>
        <w:t xml:space="preserve"> </w:t>
      </w:r>
      <w:r w:rsidRPr="008C6CDE">
        <w:rPr>
          <w:rFonts w:ascii="Courier New" w:eastAsia="Times New Roman" w:hAnsi="Courier New"/>
          <w:sz w:val="20"/>
          <w:szCs w:val="24"/>
          <w:lang w:val="en-GB"/>
        </w:rPr>
        <w:t>=</w:t>
      </w:r>
      <w:r w:rsidRPr="008C6CDE">
        <w:rPr>
          <w:rFonts w:ascii="STIX" w:eastAsia="Times New Roman" w:hAnsi="STIX"/>
          <w:sz w:val="20"/>
          <w:szCs w:val="24"/>
          <w:lang w:val="en-GB"/>
        </w:rPr>
        <w:t xml:space="preserve"> 1955 can be computed as</w:t>
      </w:r>
    </w:p>
    <w:p w:rsidR="008C6CDE" w:rsidRPr="008C6CDE" w:rsidRDefault="008C6CDE" w:rsidP="008C6CDE">
      <w:pPr>
        <w:spacing w:after="0" w:line="240" w:lineRule="auto"/>
        <w:rPr>
          <w:rFonts w:ascii="STIX" w:eastAsia="Times New Roman" w:hAnsi="STIX"/>
          <w:sz w:val="20"/>
          <w:szCs w:val="24"/>
          <w:lang w:val="en-GB"/>
        </w:rPr>
      </w:pPr>
    </w:p>
    <w:p w:rsidR="008C6CDE" w:rsidRPr="008C6CDE" w:rsidRDefault="008C6CDE" w:rsidP="008C6CDE">
      <w:pPr>
        <w:spacing w:after="0" w:line="240" w:lineRule="auto"/>
        <w:rPr>
          <w:rFonts w:ascii="STIX" w:eastAsia="Times New Roman" w:hAnsi="STIX"/>
          <w:sz w:val="20"/>
          <w:szCs w:val="24"/>
          <w:lang w:val="en-GB"/>
        </w:rPr>
      </w:pPr>
      <w:r w:rsidRPr="008C6CDE">
        <w:rPr>
          <w:rFonts w:ascii="STIX" w:eastAsia="Times New Roman" w:hAnsi="STIX"/>
          <w:position w:val="-28"/>
          <w:sz w:val="20"/>
          <w:szCs w:val="24"/>
          <w:lang w:val="en-GB"/>
        </w:rPr>
        <w:object w:dxaOrig="56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281" type="#_x0000_t75" style="width:282.75pt;height:33.75pt" o:ole="">
            <v:imagedata r:id="rId8" o:title=""/>
          </v:shape>
          <o:OLEObject Type="Embed" ProgID="Equation.DSMT4" ShapeID="_x0000_i6281" DrawAspect="Content" ObjectID="_1552491268" r:id="rId9"/>
        </w:object>
      </w:r>
    </w:p>
    <w:p w:rsidR="008C6CDE" w:rsidRPr="008C6CDE" w:rsidRDefault="008C6CDE" w:rsidP="008C6CDE">
      <w:pPr>
        <w:spacing w:after="0" w:line="240" w:lineRule="auto"/>
        <w:rPr>
          <w:rFonts w:ascii="STIX" w:eastAsia="Times New Roman" w:hAnsi="STIX"/>
          <w:sz w:val="20"/>
          <w:szCs w:val="24"/>
          <w:lang w:val="en-GB"/>
        </w:rPr>
      </w:pPr>
    </w:p>
    <w:p w:rsidR="008C6CDE" w:rsidRPr="008C6CDE" w:rsidRDefault="008C6CDE" w:rsidP="008C6CDE">
      <w:pPr>
        <w:spacing w:after="0" w:line="240" w:lineRule="auto"/>
        <w:rPr>
          <w:rFonts w:ascii="STIX" w:eastAsia="Times New Roman" w:hAnsi="STIX"/>
          <w:sz w:val="20"/>
          <w:szCs w:val="24"/>
          <w:lang w:val="en-GB"/>
        </w:rPr>
      </w:pPr>
      <w:r w:rsidRPr="008C6CDE">
        <w:rPr>
          <w:rFonts w:ascii="STIX" w:eastAsia="Times New Roman" w:hAnsi="STIX"/>
          <w:sz w:val="20"/>
          <w:szCs w:val="24"/>
          <w:lang w:val="en-GB"/>
        </w:rPr>
        <w:t>Values at the other times can be computed and displayed along with the data in the plot below.</w:t>
      </w:r>
    </w:p>
    <w:p w:rsidR="008C6CDE" w:rsidRPr="008C6CDE" w:rsidRDefault="008C6CDE" w:rsidP="008C6CDE">
      <w:pPr>
        <w:spacing w:after="0" w:line="240" w:lineRule="auto"/>
        <w:rPr>
          <w:rFonts w:ascii="STIX" w:eastAsia="Times New Roman" w:hAnsi="STIX"/>
          <w:sz w:val="20"/>
          <w:szCs w:val="24"/>
          <w:lang w:val="en-GB"/>
        </w:rPr>
      </w:pPr>
    </w:p>
    <w:p w:rsidR="008C6CDE" w:rsidRPr="008C6CDE" w:rsidRDefault="008C6CDE" w:rsidP="008C6CDE">
      <w:pPr>
        <w:spacing w:after="0" w:line="240" w:lineRule="auto"/>
        <w:rPr>
          <w:rFonts w:ascii="STIX" w:eastAsia="Times New Roman" w:hAnsi="STIX"/>
          <w:sz w:val="20"/>
          <w:szCs w:val="24"/>
          <w:lang w:val="en-GB"/>
        </w:rPr>
      </w:pPr>
      <w:r w:rsidRPr="008C6CDE">
        <w:rPr>
          <w:rFonts w:ascii="STIX" w:eastAsia="Times New Roman" w:hAnsi="STIX"/>
          <w:b/>
          <w:sz w:val="20"/>
          <w:szCs w:val="24"/>
          <w:lang w:val="en-GB"/>
        </w:rPr>
        <w:t>(b)</w:t>
      </w:r>
      <w:r w:rsidRPr="008C6CDE">
        <w:rPr>
          <w:rFonts w:ascii="STIX" w:eastAsia="Times New Roman" w:hAnsi="STIX"/>
          <w:sz w:val="20"/>
          <w:szCs w:val="24"/>
          <w:lang w:val="en-GB"/>
        </w:rPr>
        <w:t xml:space="preserve"> The ODE can be integrated with the fourth-order RK method with the results tabulated and plotted below:</w:t>
      </w:r>
    </w:p>
    <w:p w:rsidR="008C6CDE" w:rsidRPr="008C6CDE" w:rsidRDefault="008C6CDE" w:rsidP="008C6CDE">
      <w:pPr>
        <w:spacing w:after="0" w:line="240" w:lineRule="auto"/>
        <w:rPr>
          <w:rFonts w:ascii="STIX" w:eastAsia="Times New Roman" w:hAnsi="STIX"/>
          <w:sz w:val="20"/>
          <w:szCs w:val="24"/>
          <w:lang w:val="en-GB"/>
        </w:rPr>
      </w:pPr>
    </w:p>
    <w:tbl>
      <w:tblPr>
        <w:tblW w:w="9302" w:type="dxa"/>
        <w:tblInd w:w="108" w:type="dxa"/>
        <w:tblLook w:val="0000"/>
      </w:tblPr>
      <w:tblGrid>
        <w:gridCol w:w="617"/>
        <w:gridCol w:w="767"/>
        <w:gridCol w:w="667"/>
        <w:gridCol w:w="767"/>
        <w:gridCol w:w="767"/>
        <w:gridCol w:w="667"/>
        <w:gridCol w:w="767"/>
        <w:gridCol w:w="767"/>
        <w:gridCol w:w="694"/>
        <w:gridCol w:w="767"/>
        <w:gridCol w:w="767"/>
        <w:gridCol w:w="667"/>
        <w:gridCol w:w="621"/>
      </w:tblGrid>
      <w:tr w:rsidR="008C6CDE" w:rsidRPr="008C6CDE" w:rsidTr="008C6CDE">
        <w:trPr>
          <w:trHeight w:val="144"/>
        </w:trPr>
        <w:tc>
          <w:tcPr>
            <w:tcW w:w="617" w:type="dxa"/>
            <w:tcBorders>
              <w:top w:val="single" w:sz="12" w:space="0" w:color="auto"/>
              <w:left w:val="nil"/>
              <w:bottom w:val="single" w:sz="6" w:space="0" w:color="auto"/>
              <w:right w:val="nil"/>
            </w:tcBorders>
            <w:noWrap/>
            <w:vAlign w:val="center"/>
          </w:tcPr>
          <w:p w:rsidR="008C6CDE" w:rsidRPr="008C6CDE" w:rsidRDefault="008C6CDE" w:rsidP="008C6CDE">
            <w:pPr>
              <w:spacing w:after="0" w:line="240" w:lineRule="auto"/>
              <w:jc w:val="center"/>
              <w:rPr>
                <w:rFonts w:ascii="STIX MathJax Main" w:eastAsia="Times New Roman" w:hAnsi="STIX MathJax Main" w:cs="STIX MathJax Main"/>
                <w:b/>
                <w:i/>
                <w:sz w:val="18"/>
                <w:szCs w:val="18"/>
                <w:lang w:val="en-GB"/>
              </w:rPr>
            </w:pPr>
            <w:r w:rsidRPr="008C6CDE">
              <w:rPr>
                <w:rFonts w:ascii="STIX" w:eastAsia="Times New Roman" w:hAnsi="STIX" w:cs="STIX MathJax Main"/>
                <w:b/>
                <w:i/>
                <w:sz w:val="18"/>
                <w:szCs w:val="18"/>
                <w:lang w:val="en-GB"/>
              </w:rPr>
              <w:t>t</w:t>
            </w:r>
          </w:p>
        </w:tc>
        <w:tc>
          <w:tcPr>
            <w:tcW w:w="767" w:type="dxa"/>
            <w:tcBorders>
              <w:top w:val="single" w:sz="12" w:space="0" w:color="auto"/>
              <w:left w:val="nil"/>
              <w:bottom w:val="single" w:sz="6" w:space="0" w:color="auto"/>
              <w:right w:val="nil"/>
            </w:tcBorders>
            <w:noWrap/>
            <w:vAlign w:val="center"/>
          </w:tcPr>
          <w:p w:rsidR="008C6CDE" w:rsidRPr="008C6CDE" w:rsidRDefault="008C6CDE" w:rsidP="008C6CDE">
            <w:pPr>
              <w:spacing w:after="0" w:line="240" w:lineRule="auto"/>
              <w:jc w:val="center"/>
              <w:rPr>
                <w:rFonts w:ascii="STIX MathJax Main" w:eastAsia="Times New Roman" w:hAnsi="STIX MathJax Main" w:cs="STIX MathJax Main"/>
                <w:b/>
                <w:sz w:val="18"/>
                <w:szCs w:val="18"/>
                <w:lang w:val="en-GB"/>
              </w:rPr>
            </w:pPr>
            <w:r w:rsidRPr="008C6CDE">
              <w:rPr>
                <w:rFonts w:ascii="STIX" w:eastAsia="Times New Roman" w:hAnsi="STIX" w:cs="STIX MathJax Main"/>
                <w:b/>
                <w:i/>
                <w:sz w:val="18"/>
                <w:szCs w:val="18"/>
                <w:lang w:val="en-GB"/>
              </w:rPr>
              <w:t>p</w:t>
            </w:r>
            <w:r w:rsidRPr="008C6CDE">
              <w:rPr>
                <w:rFonts w:ascii="STIX" w:eastAsia="Times New Roman" w:hAnsi="STIX" w:cs="STIX MathJax Main"/>
                <w:b/>
                <w:sz w:val="18"/>
                <w:szCs w:val="18"/>
                <w:lang w:val="en-GB"/>
              </w:rPr>
              <w:t>-rk4</w:t>
            </w:r>
          </w:p>
        </w:tc>
        <w:tc>
          <w:tcPr>
            <w:tcW w:w="667" w:type="dxa"/>
            <w:tcBorders>
              <w:top w:val="single" w:sz="12" w:space="0" w:color="auto"/>
              <w:left w:val="nil"/>
              <w:bottom w:val="single" w:sz="6" w:space="0" w:color="auto"/>
              <w:right w:val="nil"/>
            </w:tcBorders>
            <w:noWrap/>
            <w:vAlign w:val="center"/>
          </w:tcPr>
          <w:p w:rsidR="008C6CDE" w:rsidRPr="008C6CDE" w:rsidRDefault="008C6CDE" w:rsidP="008C6CDE">
            <w:pPr>
              <w:spacing w:after="0" w:line="240" w:lineRule="auto"/>
              <w:jc w:val="center"/>
              <w:rPr>
                <w:rFonts w:ascii="STIX MathJax Main" w:eastAsia="Times New Roman" w:hAnsi="STIX MathJax Main" w:cs="STIX MathJax Main"/>
                <w:b/>
                <w:sz w:val="18"/>
                <w:szCs w:val="18"/>
                <w:lang w:val="en-GB"/>
              </w:rPr>
            </w:pPr>
            <w:r w:rsidRPr="008C6CDE">
              <w:rPr>
                <w:rFonts w:ascii="STIX" w:eastAsia="Times New Roman" w:hAnsi="STIX" w:cs="STIX MathJax Main"/>
                <w:b/>
                <w:i/>
                <w:sz w:val="18"/>
                <w:szCs w:val="18"/>
                <w:lang w:val="en-GB"/>
              </w:rPr>
              <w:t>k</w:t>
            </w:r>
            <w:r w:rsidRPr="008C6CDE">
              <w:rPr>
                <w:rFonts w:ascii="STIX" w:eastAsia="Times New Roman" w:hAnsi="STIX" w:cs="STIX MathJax Main"/>
                <w:b/>
                <w:sz w:val="18"/>
                <w:szCs w:val="18"/>
                <w:vertAlign w:val="subscript"/>
                <w:lang w:val="en-GB"/>
              </w:rPr>
              <w:t>1</w:t>
            </w:r>
          </w:p>
        </w:tc>
        <w:tc>
          <w:tcPr>
            <w:tcW w:w="767" w:type="dxa"/>
            <w:tcBorders>
              <w:top w:val="single" w:sz="12" w:space="0" w:color="auto"/>
              <w:left w:val="nil"/>
              <w:bottom w:val="single" w:sz="6" w:space="0" w:color="auto"/>
              <w:right w:val="nil"/>
            </w:tcBorders>
            <w:noWrap/>
            <w:vAlign w:val="center"/>
          </w:tcPr>
          <w:p w:rsidR="008C6CDE" w:rsidRPr="008C6CDE" w:rsidRDefault="008C6CDE" w:rsidP="008C6CDE">
            <w:pPr>
              <w:spacing w:after="0" w:line="240" w:lineRule="auto"/>
              <w:jc w:val="center"/>
              <w:rPr>
                <w:rFonts w:ascii="STIX MathJax Main" w:eastAsia="Times New Roman" w:hAnsi="STIX MathJax Main" w:cs="STIX MathJax Main"/>
                <w:b/>
                <w:i/>
                <w:sz w:val="18"/>
                <w:szCs w:val="18"/>
                <w:lang w:val="en-GB"/>
              </w:rPr>
            </w:pPr>
            <w:r w:rsidRPr="008C6CDE">
              <w:rPr>
                <w:rFonts w:ascii="STIX" w:eastAsia="Times New Roman" w:hAnsi="STIX" w:cs="STIX MathJax Main"/>
                <w:b/>
                <w:i/>
                <w:sz w:val="18"/>
                <w:szCs w:val="18"/>
                <w:lang w:val="en-GB"/>
              </w:rPr>
              <w:t>t</w:t>
            </w:r>
            <w:r w:rsidRPr="008C6CDE">
              <w:rPr>
                <w:rFonts w:ascii="STIX" w:eastAsia="Times New Roman" w:hAnsi="STIX" w:cs="STIX MathJax Main"/>
                <w:b/>
                <w:i/>
                <w:sz w:val="18"/>
                <w:szCs w:val="18"/>
                <w:vertAlign w:val="subscript"/>
                <w:lang w:val="en-GB"/>
              </w:rPr>
              <w:t>m</w:t>
            </w:r>
          </w:p>
        </w:tc>
        <w:tc>
          <w:tcPr>
            <w:tcW w:w="767" w:type="dxa"/>
            <w:tcBorders>
              <w:top w:val="single" w:sz="12" w:space="0" w:color="auto"/>
              <w:left w:val="nil"/>
              <w:bottom w:val="single" w:sz="6" w:space="0" w:color="auto"/>
              <w:right w:val="nil"/>
            </w:tcBorders>
            <w:noWrap/>
            <w:vAlign w:val="center"/>
          </w:tcPr>
          <w:p w:rsidR="008C6CDE" w:rsidRPr="008C6CDE" w:rsidRDefault="008C6CDE" w:rsidP="008C6CDE">
            <w:pPr>
              <w:spacing w:after="0" w:line="240" w:lineRule="auto"/>
              <w:jc w:val="center"/>
              <w:rPr>
                <w:rFonts w:ascii="STIX MathJax Main" w:eastAsia="Times New Roman" w:hAnsi="STIX MathJax Main" w:cs="STIX MathJax Main"/>
                <w:b/>
                <w:i/>
                <w:sz w:val="18"/>
                <w:szCs w:val="18"/>
                <w:lang w:val="en-GB"/>
              </w:rPr>
            </w:pPr>
            <w:r w:rsidRPr="008C6CDE">
              <w:rPr>
                <w:rFonts w:ascii="STIX" w:eastAsia="Times New Roman" w:hAnsi="STIX" w:cs="STIX MathJax Main"/>
                <w:b/>
                <w:i/>
                <w:sz w:val="18"/>
                <w:szCs w:val="18"/>
                <w:lang w:val="en-GB"/>
              </w:rPr>
              <w:t>y</w:t>
            </w:r>
            <w:r w:rsidRPr="008C6CDE">
              <w:rPr>
                <w:rFonts w:ascii="STIX" w:eastAsia="Times New Roman" w:hAnsi="STIX" w:cs="STIX MathJax Main"/>
                <w:b/>
                <w:i/>
                <w:sz w:val="18"/>
                <w:szCs w:val="18"/>
                <w:vertAlign w:val="subscript"/>
                <w:lang w:val="en-GB"/>
              </w:rPr>
              <w:t>m</w:t>
            </w:r>
          </w:p>
        </w:tc>
        <w:tc>
          <w:tcPr>
            <w:tcW w:w="667" w:type="dxa"/>
            <w:tcBorders>
              <w:top w:val="single" w:sz="12" w:space="0" w:color="auto"/>
              <w:left w:val="nil"/>
              <w:bottom w:val="single" w:sz="6" w:space="0" w:color="auto"/>
              <w:right w:val="nil"/>
            </w:tcBorders>
            <w:noWrap/>
            <w:vAlign w:val="center"/>
          </w:tcPr>
          <w:p w:rsidR="008C6CDE" w:rsidRPr="008C6CDE" w:rsidRDefault="008C6CDE" w:rsidP="008C6CDE">
            <w:pPr>
              <w:spacing w:after="0" w:line="240" w:lineRule="auto"/>
              <w:jc w:val="center"/>
              <w:rPr>
                <w:rFonts w:ascii="STIX MathJax Main" w:eastAsia="Times New Roman" w:hAnsi="STIX MathJax Main" w:cs="STIX MathJax Main"/>
                <w:b/>
                <w:sz w:val="18"/>
                <w:szCs w:val="18"/>
                <w:lang w:val="en-GB"/>
              </w:rPr>
            </w:pPr>
            <w:r w:rsidRPr="008C6CDE">
              <w:rPr>
                <w:rFonts w:ascii="STIX" w:eastAsia="Times New Roman" w:hAnsi="STIX" w:cs="STIX MathJax Main"/>
                <w:b/>
                <w:i/>
                <w:sz w:val="18"/>
                <w:szCs w:val="18"/>
                <w:lang w:val="en-GB"/>
              </w:rPr>
              <w:t>k</w:t>
            </w:r>
            <w:r w:rsidRPr="008C6CDE">
              <w:rPr>
                <w:rFonts w:ascii="STIX" w:eastAsia="Times New Roman" w:hAnsi="STIX" w:cs="STIX MathJax Main"/>
                <w:b/>
                <w:sz w:val="18"/>
                <w:szCs w:val="18"/>
                <w:vertAlign w:val="subscript"/>
                <w:lang w:val="en-GB"/>
              </w:rPr>
              <w:t>2</w:t>
            </w:r>
          </w:p>
        </w:tc>
        <w:tc>
          <w:tcPr>
            <w:tcW w:w="767" w:type="dxa"/>
            <w:tcBorders>
              <w:top w:val="single" w:sz="12" w:space="0" w:color="auto"/>
              <w:left w:val="nil"/>
              <w:bottom w:val="single" w:sz="6" w:space="0" w:color="auto"/>
              <w:right w:val="nil"/>
            </w:tcBorders>
            <w:noWrap/>
            <w:vAlign w:val="center"/>
          </w:tcPr>
          <w:p w:rsidR="008C6CDE" w:rsidRPr="008C6CDE" w:rsidRDefault="008C6CDE" w:rsidP="008C6CDE">
            <w:pPr>
              <w:spacing w:after="0" w:line="240" w:lineRule="auto"/>
              <w:jc w:val="center"/>
              <w:rPr>
                <w:rFonts w:ascii="STIX MathJax Main" w:eastAsia="Times New Roman" w:hAnsi="STIX MathJax Main" w:cs="STIX MathJax Main"/>
                <w:b/>
                <w:i/>
                <w:sz w:val="18"/>
                <w:szCs w:val="18"/>
                <w:lang w:val="en-GB"/>
              </w:rPr>
            </w:pPr>
            <w:r w:rsidRPr="008C6CDE">
              <w:rPr>
                <w:rFonts w:ascii="STIX" w:eastAsia="Times New Roman" w:hAnsi="STIX" w:cs="STIX MathJax Main"/>
                <w:b/>
                <w:i/>
                <w:sz w:val="18"/>
                <w:szCs w:val="18"/>
                <w:lang w:val="en-GB"/>
              </w:rPr>
              <w:t>t</w:t>
            </w:r>
            <w:r w:rsidRPr="008C6CDE">
              <w:rPr>
                <w:rFonts w:ascii="STIX" w:eastAsia="Times New Roman" w:hAnsi="STIX" w:cs="STIX MathJax Main"/>
                <w:b/>
                <w:i/>
                <w:sz w:val="18"/>
                <w:szCs w:val="18"/>
                <w:vertAlign w:val="subscript"/>
                <w:lang w:val="en-GB"/>
              </w:rPr>
              <w:t>m</w:t>
            </w:r>
          </w:p>
        </w:tc>
        <w:tc>
          <w:tcPr>
            <w:tcW w:w="767" w:type="dxa"/>
            <w:tcBorders>
              <w:top w:val="single" w:sz="12" w:space="0" w:color="auto"/>
              <w:left w:val="nil"/>
              <w:bottom w:val="single" w:sz="6" w:space="0" w:color="auto"/>
              <w:right w:val="nil"/>
            </w:tcBorders>
            <w:noWrap/>
            <w:vAlign w:val="center"/>
          </w:tcPr>
          <w:p w:rsidR="008C6CDE" w:rsidRPr="008C6CDE" w:rsidRDefault="008C6CDE" w:rsidP="008C6CDE">
            <w:pPr>
              <w:spacing w:after="0" w:line="240" w:lineRule="auto"/>
              <w:jc w:val="center"/>
              <w:rPr>
                <w:rFonts w:ascii="STIX MathJax Main" w:eastAsia="Times New Roman" w:hAnsi="STIX MathJax Main" w:cs="STIX MathJax Main"/>
                <w:b/>
                <w:i/>
                <w:sz w:val="18"/>
                <w:szCs w:val="18"/>
                <w:lang w:val="en-GB"/>
              </w:rPr>
            </w:pPr>
            <w:r w:rsidRPr="008C6CDE">
              <w:rPr>
                <w:rFonts w:ascii="STIX" w:eastAsia="Times New Roman" w:hAnsi="STIX" w:cs="STIX MathJax Main"/>
                <w:b/>
                <w:i/>
                <w:sz w:val="18"/>
                <w:szCs w:val="18"/>
                <w:lang w:val="en-GB"/>
              </w:rPr>
              <w:t>y</w:t>
            </w:r>
            <w:r w:rsidRPr="008C6CDE">
              <w:rPr>
                <w:rFonts w:ascii="STIX" w:eastAsia="Times New Roman" w:hAnsi="STIX" w:cs="STIX MathJax Main"/>
                <w:b/>
                <w:i/>
                <w:sz w:val="18"/>
                <w:szCs w:val="18"/>
                <w:vertAlign w:val="subscript"/>
                <w:lang w:val="en-GB"/>
              </w:rPr>
              <w:t>m</w:t>
            </w:r>
          </w:p>
        </w:tc>
        <w:tc>
          <w:tcPr>
            <w:tcW w:w="694" w:type="dxa"/>
            <w:tcBorders>
              <w:top w:val="single" w:sz="12" w:space="0" w:color="auto"/>
              <w:left w:val="nil"/>
              <w:bottom w:val="single" w:sz="6" w:space="0" w:color="auto"/>
              <w:right w:val="nil"/>
            </w:tcBorders>
            <w:noWrap/>
            <w:vAlign w:val="center"/>
          </w:tcPr>
          <w:p w:rsidR="008C6CDE" w:rsidRPr="008C6CDE" w:rsidRDefault="008C6CDE" w:rsidP="008C6CDE">
            <w:pPr>
              <w:spacing w:after="0" w:line="240" w:lineRule="auto"/>
              <w:jc w:val="center"/>
              <w:rPr>
                <w:rFonts w:ascii="STIX MathJax Main" w:eastAsia="Times New Roman" w:hAnsi="STIX MathJax Main" w:cs="STIX MathJax Main"/>
                <w:b/>
                <w:sz w:val="18"/>
                <w:szCs w:val="18"/>
                <w:lang w:val="en-GB"/>
              </w:rPr>
            </w:pPr>
            <w:r w:rsidRPr="008C6CDE">
              <w:rPr>
                <w:rFonts w:ascii="STIX" w:eastAsia="Times New Roman" w:hAnsi="STIX" w:cs="STIX MathJax Main"/>
                <w:b/>
                <w:i/>
                <w:sz w:val="18"/>
                <w:szCs w:val="18"/>
                <w:lang w:val="en-GB"/>
              </w:rPr>
              <w:t>k</w:t>
            </w:r>
            <w:r w:rsidRPr="008C6CDE">
              <w:rPr>
                <w:rFonts w:ascii="STIX" w:eastAsia="Times New Roman" w:hAnsi="STIX" w:cs="STIX MathJax Main"/>
                <w:b/>
                <w:sz w:val="18"/>
                <w:szCs w:val="18"/>
                <w:vertAlign w:val="subscript"/>
                <w:lang w:val="en-GB"/>
              </w:rPr>
              <w:t>3</w:t>
            </w:r>
          </w:p>
        </w:tc>
        <w:tc>
          <w:tcPr>
            <w:tcW w:w="767" w:type="dxa"/>
            <w:tcBorders>
              <w:top w:val="single" w:sz="12" w:space="0" w:color="auto"/>
              <w:left w:val="nil"/>
              <w:bottom w:val="single" w:sz="6" w:space="0" w:color="auto"/>
              <w:right w:val="nil"/>
            </w:tcBorders>
            <w:noWrap/>
            <w:vAlign w:val="center"/>
          </w:tcPr>
          <w:p w:rsidR="008C6CDE" w:rsidRPr="008C6CDE" w:rsidRDefault="008C6CDE" w:rsidP="008C6CDE">
            <w:pPr>
              <w:spacing w:after="0" w:line="240" w:lineRule="auto"/>
              <w:jc w:val="center"/>
              <w:rPr>
                <w:rFonts w:ascii="STIX MathJax Main" w:eastAsia="Times New Roman" w:hAnsi="STIX MathJax Main" w:cs="STIX MathJax Main"/>
                <w:b/>
                <w:i/>
                <w:sz w:val="18"/>
                <w:szCs w:val="18"/>
                <w:lang w:val="en-GB"/>
              </w:rPr>
            </w:pPr>
            <w:r w:rsidRPr="008C6CDE">
              <w:rPr>
                <w:rFonts w:ascii="STIX" w:eastAsia="Times New Roman" w:hAnsi="STIX" w:cs="STIX MathJax Main"/>
                <w:b/>
                <w:i/>
                <w:sz w:val="18"/>
                <w:szCs w:val="18"/>
                <w:lang w:val="en-GB"/>
              </w:rPr>
              <w:t>t</w:t>
            </w:r>
            <w:r w:rsidRPr="008C6CDE">
              <w:rPr>
                <w:rFonts w:ascii="STIX" w:eastAsia="Times New Roman" w:hAnsi="STIX" w:cs="STIX MathJax Main"/>
                <w:b/>
                <w:i/>
                <w:sz w:val="18"/>
                <w:szCs w:val="18"/>
                <w:vertAlign w:val="subscript"/>
                <w:lang w:val="en-GB"/>
              </w:rPr>
              <w:t>e</w:t>
            </w:r>
          </w:p>
        </w:tc>
        <w:tc>
          <w:tcPr>
            <w:tcW w:w="767" w:type="dxa"/>
            <w:tcBorders>
              <w:top w:val="single" w:sz="12" w:space="0" w:color="auto"/>
              <w:left w:val="nil"/>
              <w:bottom w:val="single" w:sz="6" w:space="0" w:color="auto"/>
              <w:right w:val="nil"/>
            </w:tcBorders>
            <w:noWrap/>
            <w:vAlign w:val="center"/>
          </w:tcPr>
          <w:p w:rsidR="008C6CDE" w:rsidRPr="008C6CDE" w:rsidRDefault="008C6CDE" w:rsidP="008C6CDE">
            <w:pPr>
              <w:spacing w:after="0" w:line="240" w:lineRule="auto"/>
              <w:jc w:val="center"/>
              <w:rPr>
                <w:rFonts w:ascii="STIX MathJax Main" w:eastAsia="Times New Roman" w:hAnsi="STIX MathJax Main" w:cs="STIX MathJax Main"/>
                <w:b/>
                <w:i/>
                <w:sz w:val="18"/>
                <w:szCs w:val="18"/>
                <w:lang w:val="en-GB"/>
              </w:rPr>
            </w:pPr>
            <w:r w:rsidRPr="008C6CDE">
              <w:rPr>
                <w:rFonts w:ascii="STIX" w:eastAsia="Times New Roman" w:hAnsi="STIX" w:cs="STIX MathJax Main"/>
                <w:b/>
                <w:i/>
                <w:sz w:val="18"/>
                <w:szCs w:val="18"/>
                <w:lang w:val="en-GB"/>
              </w:rPr>
              <w:t>y</w:t>
            </w:r>
            <w:r w:rsidRPr="008C6CDE">
              <w:rPr>
                <w:rFonts w:ascii="STIX" w:eastAsia="Times New Roman" w:hAnsi="STIX" w:cs="STIX MathJax Main"/>
                <w:b/>
                <w:i/>
                <w:sz w:val="18"/>
                <w:szCs w:val="18"/>
                <w:vertAlign w:val="subscript"/>
                <w:lang w:val="en-GB"/>
              </w:rPr>
              <w:t>e</w:t>
            </w:r>
          </w:p>
        </w:tc>
        <w:tc>
          <w:tcPr>
            <w:tcW w:w="667" w:type="dxa"/>
            <w:tcBorders>
              <w:top w:val="single" w:sz="12" w:space="0" w:color="auto"/>
              <w:left w:val="nil"/>
              <w:bottom w:val="single" w:sz="6" w:space="0" w:color="auto"/>
              <w:right w:val="nil"/>
            </w:tcBorders>
            <w:noWrap/>
            <w:vAlign w:val="center"/>
          </w:tcPr>
          <w:p w:rsidR="008C6CDE" w:rsidRPr="008C6CDE" w:rsidRDefault="008C6CDE" w:rsidP="008C6CDE">
            <w:pPr>
              <w:spacing w:after="0" w:line="240" w:lineRule="auto"/>
              <w:jc w:val="center"/>
              <w:rPr>
                <w:rFonts w:ascii="STIX MathJax Main" w:eastAsia="Times New Roman" w:hAnsi="STIX MathJax Main" w:cs="STIX MathJax Main"/>
                <w:b/>
                <w:sz w:val="18"/>
                <w:szCs w:val="18"/>
                <w:lang w:val="en-GB"/>
              </w:rPr>
            </w:pPr>
            <w:r w:rsidRPr="008C6CDE">
              <w:rPr>
                <w:rFonts w:ascii="STIX" w:eastAsia="Times New Roman" w:hAnsi="STIX" w:cs="STIX MathJax Main"/>
                <w:b/>
                <w:i/>
                <w:sz w:val="18"/>
                <w:szCs w:val="18"/>
                <w:lang w:val="en-GB"/>
              </w:rPr>
              <w:t>k</w:t>
            </w:r>
            <w:r w:rsidRPr="008C6CDE">
              <w:rPr>
                <w:rFonts w:ascii="STIX" w:eastAsia="Times New Roman" w:hAnsi="STIX" w:cs="STIX MathJax Main"/>
                <w:b/>
                <w:sz w:val="18"/>
                <w:szCs w:val="18"/>
                <w:vertAlign w:val="subscript"/>
                <w:lang w:val="en-GB"/>
              </w:rPr>
              <w:t>4</w:t>
            </w:r>
          </w:p>
        </w:tc>
        <w:tc>
          <w:tcPr>
            <w:tcW w:w="621" w:type="dxa"/>
            <w:tcBorders>
              <w:top w:val="single" w:sz="12" w:space="0" w:color="auto"/>
              <w:left w:val="nil"/>
              <w:bottom w:val="single" w:sz="6" w:space="0" w:color="auto"/>
              <w:right w:val="nil"/>
            </w:tcBorders>
            <w:noWrap/>
            <w:vAlign w:val="center"/>
          </w:tcPr>
          <w:p w:rsidR="008C6CDE" w:rsidRPr="008C6CDE" w:rsidRDefault="008C6CDE" w:rsidP="008C6CDE">
            <w:pPr>
              <w:spacing w:after="0" w:line="240" w:lineRule="auto"/>
              <w:jc w:val="center"/>
              <w:rPr>
                <w:rFonts w:ascii="Courier New" w:eastAsia="Times New Roman" w:hAnsi="Courier New" w:cs="STIX MathJax Main"/>
                <w:b/>
                <w:i/>
                <w:sz w:val="18"/>
                <w:szCs w:val="18"/>
                <w:lang w:val="en-GB"/>
              </w:rPr>
            </w:pPr>
            <w:r w:rsidRPr="008C6CDE">
              <w:rPr>
                <w:rFonts w:ascii="Courier New" w:eastAsia="Times New Roman" w:hAnsi="Courier New" w:cs="STIX MathJax Main"/>
                <w:b/>
                <w:i/>
                <w:sz w:val="18"/>
                <w:szCs w:val="18"/>
                <w:lang w:val="en-GB"/>
              </w:rPr>
              <w:sym w:font="Symbol" w:char="F066"/>
            </w:r>
          </w:p>
        </w:tc>
      </w:tr>
      <w:tr w:rsidR="008C6CDE" w:rsidRPr="008C6CDE" w:rsidTr="008C6CDE">
        <w:trPr>
          <w:trHeight w:val="144"/>
        </w:trPr>
        <w:tc>
          <w:tcPr>
            <w:tcW w:w="617" w:type="dxa"/>
            <w:tcBorders>
              <w:top w:val="single" w:sz="6" w:space="0" w:color="auto"/>
              <w:left w:val="nil"/>
              <w:bottom w:val="nil"/>
              <w:right w:val="nil"/>
            </w:tcBorders>
            <w:noWrap/>
            <w:vAlign w:val="center"/>
          </w:tcPr>
          <w:p w:rsidR="008C6CDE" w:rsidRPr="008C6CDE" w:rsidRDefault="008C6CDE" w:rsidP="008C6CDE">
            <w:pPr>
              <w:spacing w:after="0" w:line="240" w:lineRule="auto"/>
              <w:jc w:val="center"/>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1950</w:t>
            </w:r>
          </w:p>
        </w:tc>
        <w:tc>
          <w:tcPr>
            <w:tcW w:w="767" w:type="dxa"/>
            <w:tcBorders>
              <w:top w:val="single" w:sz="6" w:space="0" w:color="auto"/>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2555.0</w:t>
            </w:r>
          </w:p>
        </w:tc>
        <w:tc>
          <w:tcPr>
            <w:tcW w:w="667" w:type="dxa"/>
            <w:tcBorders>
              <w:top w:val="single" w:sz="6" w:space="0" w:color="auto"/>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52.29</w:t>
            </w:r>
          </w:p>
        </w:tc>
        <w:tc>
          <w:tcPr>
            <w:tcW w:w="767" w:type="dxa"/>
            <w:tcBorders>
              <w:top w:val="single" w:sz="6" w:space="0" w:color="auto"/>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1952.5</w:t>
            </w:r>
          </w:p>
        </w:tc>
        <w:tc>
          <w:tcPr>
            <w:tcW w:w="767" w:type="dxa"/>
            <w:tcBorders>
              <w:top w:val="single" w:sz="6" w:space="0" w:color="auto"/>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2685.7</w:t>
            </w:r>
          </w:p>
        </w:tc>
        <w:tc>
          <w:tcPr>
            <w:tcW w:w="667" w:type="dxa"/>
            <w:tcBorders>
              <w:top w:val="single" w:sz="6" w:space="0" w:color="auto"/>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54.20</w:t>
            </w:r>
          </w:p>
        </w:tc>
        <w:tc>
          <w:tcPr>
            <w:tcW w:w="767" w:type="dxa"/>
            <w:tcBorders>
              <w:top w:val="single" w:sz="6" w:space="0" w:color="auto"/>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1952.5</w:t>
            </w:r>
          </w:p>
        </w:tc>
        <w:tc>
          <w:tcPr>
            <w:tcW w:w="767" w:type="dxa"/>
            <w:tcBorders>
              <w:top w:val="single" w:sz="6" w:space="0" w:color="auto"/>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2690.5</w:t>
            </w:r>
          </w:p>
        </w:tc>
        <w:tc>
          <w:tcPr>
            <w:tcW w:w="694" w:type="dxa"/>
            <w:tcBorders>
              <w:top w:val="single" w:sz="6" w:space="0" w:color="auto"/>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54.27</w:t>
            </w:r>
          </w:p>
        </w:tc>
        <w:tc>
          <w:tcPr>
            <w:tcW w:w="767" w:type="dxa"/>
            <w:tcBorders>
              <w:top w:val="single" w:sz="6" w:space="0" w:color="auto"/>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1955.0</w:t>
            </w:r>
          </w:p>
        </w:tc>
        <w:tc>
          <w:tcPr>
            <w:tcW w:w="767" w:type="dxa"/>
            <w:tcBorders>
              <w:top w:val="single" w:sz="6" w:space="0" w:color="auto"/>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2826.3</w:t>
            </w:r>
          </w:p>
        </w:tc>
        <w:tc>
          <w:tcPr>
            <w:tcW w:w="667" w:type="dxa"/>
            <w:tcBorders>
              <w:top w:val="single" w:sz="6" w:space="0" w:color="auto"/>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56.18</w:t>
            </w:r>
          </w:p>
        </w:tc>
        <w:tc>
          <w:tcPr>
            <w:tcW w:w="621" w:type="dxa"/>
            <w:tcBorders>
              <w:top w:val="single" w:sz="6" w:space="0" w:color="auto"/>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54.23</w:t>
            </w:r>
          </w:p>
        </w:tc>
      </w:tr>
      <w:tr w:rsidR="008C6CDE" w:rsidRPr="008C6CDE" w:rsidTr="008C6CDE">
        <w:trPr>
          <w:trHeight w:val="144"/>
        </w:trPr>
        <w:tc>
          <w:tcPr>
            <w:tcW w:w="617" w:type="dxa"/>
            <w:tcBorders>
              <w:top w:val="nil"/>
              <w:left w:val="nil"/>
              <w:bottom w:val="nil"/>
              <w:right w:val="nil"/>
            </w:tcBorders>
            <w:noWrap/>
            <w:vAlign w:val="center"/>
          </w:tcPr>
          <w:p w:rsidR="008C6CDE" w:rsidRPr="008C6CDE" w:rsidRDefault="008C6CDE" w:rsidP="008C6CDE">
            <w:pPr>
              <w:spacing w:after="0" w:line="240" w:lineRule="auto"/>
              <w:jc w:val="center"/>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1955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2826.2</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56.17</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1957.5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2966.6</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58.06</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1957.5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2971.3</w:t>
            </w:r>
          </w:p>
        </w:tc>
        <w:tc>
          <w:tcPr>
            <w:tcW w:w="694"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58.13</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1960.0</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3116.8</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59.99</w:t>
            </w:r>
          </w:p>
        </w:tc>
        <w:tc>
          <w:tcPr>
            <w:tcW w:w="621"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58.09</w:t>
            </w:r>
          </w:p>
        </w:tc>
      </w:tr>
      <w:tr w:rsidR="008C6CDE" w:rsidRPr="008C6CDE" w:rsidTr="008C6CDE">
        <w:trPr>
          <w:trHeight w:val="144"/>
        </w:trPr>
        <w:tc>
          <w:tcPr>
            <w:tcW w:w="617" w:type="dxa"/>
            <w:tcBorders>
              <w:top w:val="nil"/>
              <w:left w:val="nil"/>
              <w:bottom w:val="nil"/>
              <w:right w:val="nil"/>
            </w:tcBorders>
            <w:noWrap/>
            <w:vAlign w:val="center"/>
          </w:tcPr>
          <w:p w:rsidR="008C6CDE" w:rsidRPr="008C6CDE" w:rsidRDefault="008C6CDE" w:rsidP="008C6CDE">
            <w:pPr>
              <w:spacing w:after="0" w:line="240" w:lineRule="auto"/>
              <w:jc w:val="center"/>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1960</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3116.6</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59.99</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1962.5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3266.6</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61.81</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1962.5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3271.1</w:t>
            </w:r>
          </w:p>
        </w:tc>
        <w:tc>
          <w:tcPr>
            <w:tcW w:w="694"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61.87</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1965.0</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3425.9</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63.64</w:t>
            </w:r>
          </w:p>
        </w:tc>
        <w:tc>
          <w:tcPr>
            <w:tcW w:w="621"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61.83</w:t>
            </w:r>
          </w:p>
        </w:tc>
      </w:tr>
      <w:tr w:rsidR="008C6CDE" w:rsidRPr="008C6CDE" w:rsidTr="008C6CDE">
        <w:trPr>
          <w:trHeight w:val="144"/>
        </w:trPr>
        <w:tc>
          <w:tcPr>
            <w:tcW w:w="617" w:type="dxa"/>
            <w:tcBorders>
              <w:top w:val="nil"/>
              <w:left w:val="nil"/>
              <w:bottom w:val="nil"/>
              <w:right w:val="nil"/>
            </w:tcBorders>
            <w:noWrap/>
            <w:vAlign w:val="center"/>
          </w:tcPr>
          <w:p w:rsidR="008C6CDE" w:rsidRPr="008C6CDE" w:rsidRDefault="008C6CDE" w:rsidP="008C6CDE">
            <w:pPr>
              <w:spacing w:after="0" w:line="240" w:lineRule="auto"/>
              <w:jc w:val="center"/>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1965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3425.8</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63.64</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1967.5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3584.9</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65.36</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1967.5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3589.2</w:t>
            </w:r>
          </w:p>
        </w:tc>
        <w:tc>
          <w:tcPr>
            <w:tcW w:w="694"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65.41</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1970.0</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3752.8</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67.06</w:t>
            </w:r>
          </w:p>
        </w:tc>
        <w:tc>
          <w:tcPr>
            <w:tcW w:w="621"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65.37</w:t>
            </w:r>
          </w:p>
        </w:tc>
      </w:tr>
      <w:tr w:rsidR="008C6CDE" w:rsidRPr="008C6CDE" w:rsidTr="008C6CDE">
        <w:trPr>
          <w:trHeight w:val="144"/>
        </w:trPr>
        <w:tc>
          <w:tcPr>
            <w:tcW w:w="617" w:type="dxa"/>
            <w:tcBorders>
              <w:top w:val="nil"/>
              <w:left w:val="nil"/>
              <w:bottom w:val="nil"/>
              <w:right w:val="nil"/>
            </w:tcBorders>
            <w:noWrap/>
            <w:vAlign w:val="center"/>
          </w:tcPr>
          <w:p w:rsidR="008C6CDE" w:rsidRPr="008C6CDE" w:rsidRDefault="008C6CDE" w:rsidP="008C6CDE">
            <w:pPr>
              <w:spacing w:after="0" w:line="240" w:lineRule="auto"/>
              <w:jc w:val="center"/>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1970</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3752.6</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67.06</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1972.5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3920.3</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68.63</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1972.5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3924.2</w:t>
            </w:r>
          </w:p>
        </w:tc>
        <w:tc>
          <w:tcPr>
            <w:tcW w:w="694"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68.66</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1975.0</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4096.0</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70.15</w:t>
            </w:r>
          </w:p>
        </w:tc>
        <w:tc>
          <w:tcPr>
            <w:tcW w:w="621"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68.63</w:t>
            </w:r>
          </w:p>
        </w:tc>
      </w:tr>
      <w:tr w:rsidR="008C6CDE" w:rsidRPr="008C6CDE" w:rsidTr="008C6CDE">
        <w:trPr>
          <w:trHeight w:val="144"/>
        </w:trPr>
        <w:tc>
          <w:tcPr>
            <w:tcW w:w="617" w:type="dxa"/>
            <w:tcBorders>
              <w:top w:val="nil"/>
              <w:left w:val="nil"/>
              <w:bottom w:val="nil"/>
              <w:right w:val="nil"/>
            </w:tcBorders>
            <w:noWrap/>
            <w:vAlign w:val="center"/>
          </w:tcPr>
          <w:p w:rsidR="008C6CDE" w:rsidRPr="008C6CDE" w:rsidRDefault="008C6CDE" w:rsidP="008C6CDE">
            <w:pPr>
              <w:spacing w:after="0" w:line="240" w:lineRule="auto"/>
              <w:jc w:val="center"/>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1975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4095.8</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70.14</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1977.5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4271.2</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71.52</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1977.5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4274.6</w:t>
            </w:r>
          </w:p>
        </w:tc>
        <w:tc>
          <w:tcPr>
            <w:tcW w:w="694"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71.55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1980.0</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4453.5</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72.82</w:t>
            </w:r>
          </w:p>
        </w:tc>
        <w:tc>
          <w:tcPr>
            <w:tcW w:w="621"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71.52</w:t>
            </w:r>
          </w:p>
        </w:tc>
      </w:tr>
      <w:tr w:rsidR="008C6CDE" w:rsidRPr="008C6CDE" w:rsidTr="008C6CDE">
        <w:trPr>
          <w:trHeight w:val="144"/>
        </w:trPr>
        <w:tc>
          <w:tcPr>
            <w:tcW w:w="617" w:type="dxa"/>
            <w:tcBorders>
              <w:top w:val="nil"/>
              <w:left w:val="nil"/>
              <w:bottom w:val="nil"/>
              <w:right w:val="nil"/>
            </w:tcBorders>
            <w:noWrap/>
            <w:vAlign w:val="center"/>
          </w:tcPr>
          <w:p w:rsidR="008C6CDE" w:rsidRPr="008C6CDE" w:rsidRDefault="008C6CDE" w:rsidP="008C6CDE">
            <w:pPr>
              <w:spacing w:after="0" w:line="240" w:lineRule="auto"/>
              <w:jc w:val="center"/>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1980</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4453.4</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72.82</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1982.5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4635.4</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73.97</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1982.5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4638.3</w:t>
            </w:r>
          </w:p>
        </w:tc>
        <w:tc>
          <w:tcPr>
            <w:tcW w:w="694"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73.98</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1985.0</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4823.3</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75.00</w:t>
            </w:r>
          </w:p>
        </w:tc>
        <w:tc>
          <w:tcPr>
            <w:tcW w:w="621"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73.95</w:t>
            </w:r>
          </w:p>
        </w:tc>
      </w:tr>
      <w:tr w:rsidR="008C6CDE" w:rsidRPr="008C6CDE" w:rsidTr="008C6CDE">
        <w:trPr>
          <w:trHeight w:val="144"/>
        </w:trPr>
        <w:tc>
          <w:tcPr>
            <w:tcW w:w="617" w:type="dxa"/>
            <w:tcBorders>
              <w:top w:val="nil"/>
              <w:left w:val="nil"/>
              <w:bottom w:val="nil"/>
              <w:right w:val="nil"/>
            </w:tcBorders>
            <w:noWrap/>
            <w:vAlign w:val="center"/>
          </w:tcPr>
          <w:p w:rsidR="008C6CDE" w:rsidRPr="008C6CDE" w:rsidRDefault="008C6CDE" w:rsidP="008C6CDE">
            <w:pPr>
              <w:spacing w:after="0" w:line="240" w:lineRule="auto"/>
              <w:jc w:val="center"/>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1985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4823.1</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75.00</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1987.5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5010.6</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75.88</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1987.5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5012.8</w:t>
            </w:r>
          </w:p>
        </w:tc>
        <w:tc>
          <w:tcPr>
            <w:tcW w:w="694"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75.89</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1990.0</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5202.6</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76.62</w:t>
            </w:r>
          </w:p>
        </w:tc>
        <w:tc>
          <w:tcPr>
            <w:tcW w:w="621"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75.86</w:t>
            </w:r>
          </w:p>
        </w:tc>
      </w:tr>
      <w:tr w:rsidR="008C6CDE" w:rsidRPr="008C6CDE" w:rsidTr="008C6CDE">
        <w:trPr>
          <w:trHeight w:val="144"/>
        </w:trPr>
        <w:tc>
          <w:tcPr>
            <w:tcW w:w="617" w:type="dxa"/>
            <w:tcBorders>
              <w:top w:val="nil"/>
              <w:left w:val="nil"/>
              <w:bottom w:val="nil"/>
              <w:right w:val="nil"/>
            </w:tcBorders>
            <w:noWrap/>
            <w:vAlign w:val="center"/>
          </w:tcPr>
          <w:p w:rsidR="008C6CDE" w:rsidRPr="008C6CDE" w:rsidRDefault="008C6CDE" w:rsidP="008C6CDE">
            <w:pPr>
              <w:spacing w:after="0" w:line="240" w:lineRule="auto"/>
              <w:jc w:val="center"/>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1990</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5202.4</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76.62</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1992.5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5394.0</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77.20</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1992.5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5395.5</w:t>
            </w:r>
          </w:p>
        </w:tc>
        <w:tc>
          <w:tcPr>
            <w:tcW w:w="694"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77.21</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1995.0</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5588.5</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77.63</w:t>
            </w:r>
          </w:p>
        </w:tc>
        <w:tc>
          <w:tcPr>
            <w:tcW w:w="621"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77.18</w:t>
            </w:r>
          </w:p>
        </w:tc>
      </w:tr>
      <w:tr w:rsidR="008C6CDE" w:rsidRPr="008C6CDE" w:rsidTr="008C6CDE">
        <w:trPr>
          <w:trHeight w:val="144"/>
        </w:trPr>
        <w:tc>
          <w:tcPr>
            <w:tcW w:w="617" w:type="dxa"/>
            <w:tcBorders>
              <w:top w:val="nil"/>
              <w:left w:val="nil"/>
              <w:bottom w:val="nil"/>
              <w:right w:val="nil"/>
            </w:tcBorders>
            <w:noWrap/>
            <w:vAlign w:val="center"/>
          </w:tcPr>
          <w:p w:rsidR="008C6CDE" w:rsidRPr="008C6CDE" w:rsidRDefault="008C6CDE" w:rsidP="008C6CDE">
            <w:pPr>
              <w:spacing w:after="0" w:line="240" w:lineRule="auto"/>
              <w:jc w:val="center"/>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1995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5588.3</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77.63</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1997.5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5782.4</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77.90</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1997.5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5783.1</w:t>
            </w:r>
          </w:p>
        </w:tc>
        <w:tc>
          <w:tcPr>
            <w:tcW w:w="694"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77.90</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2000.0</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5977.8</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78.00</w:t>
            </w:r>
          </w:p>
        </w:tc>
        <w:tc>
          <w:tcPr>
            <w:tcW w:w="621"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77.87</w:t>
            </w:r>
          </w:p>
        </w:tc>
      </w:tr>
      <w:tr w:rsidR="008C6CDE" w:rsidRPr="008C6CDE" w:rsidTr="008C6CDE">
        <w:trPr>
          <w:trHeight w:val="144"/>
        </w:trPr>
        <w:tc>
          <w:tcPr>
            <w:tcW w:w="617" w:type="dxa"/>
            <w:tcBorders>
              <w:top w:val="nil"/>
              <w:left w:val="nil"/>
              <w:bottom w:val="nil"/>
              <w:right w:val="nil"/>
            </w:tcBorders>
            <w:noWrap/>
            <w:vAlign w:val="center"/>
          </w:tcPr>
          <w:p w:rsidR="008C6CDE" w:rsidRPr="008C6CDE" w:rsidRDefault="008C6CDE" w:rsidP="008C6CDE">
            <w:pPr>
              <w:spacing w:after="0" w:line="240" w:lineRule="auto"/>
              <w:jc w:val="center"/>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2000</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5977.7</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78.00</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2002.5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6172.7</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77.94</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2002.5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6172.5</w:t>
            </w:r>
          </w:p>
        </w:tc>
        <w:tc>
          <w:tcPr>
            <w:tcW w:w="694"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77.94</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2005.0</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6367.4</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77.71</w:t>
            </w:r>
          </w:p>
        </w:tc>
        <w:tc>
          <w:tcPr>
            <w:tcW w:w="621"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77.91</w:t>
            </w:r>
          </w:p>
        </w:tc>
      </w:tr>
      <w:tr w:rsidR="008C6CDE" w:rsidRPr="008C6CDE" w:rsidTr="008C6CDE">
        <w:trPr>
          <w:trHeight w:val="144"/>
        </w:trPr>
        <w:tc>
          <w:tcPr>
            <w:tcW w:w="617" w:type="dxa"/>
            <w:tcBorders>
              <w:top w:val="nil"/>
              <w:left w:val="nil"/>
              <w:bottom w:val="nil"/>
              <w:right w:val="nil"/>
            </w:tcBorders>
            <w:noWrap/>
            <w:vAlign w:val="center"/>
          </w:tcPr>
          <w:p w:rsidR="008C6CDE" w:rsidRPr="008C6CDE" w:rsidRDefault="008C6CDE" w:rsidP="008C6CDE">
            <w:pPr>
              <w:spacing w:after="0" w:line="240" w:lineRule="auto"/>
              <w:jc w:val="center"/>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2005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6367.2</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77.71</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2007.5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6561.5</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77.32</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2007.5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6560.5</w:t>
            </w:r>
          </w:p>
        </w:tc>
        <w:tc>
          <w:tcPr>
            <w:tcW w:w="694"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77.32</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2010.0</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6753.8</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76.77</w:t>
            </w:r>
          </w:p>
        </w:tc>
        <w:tc>
          <w:tcPr>
            <w:tcW w:w="621"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77.29</w:t>
            </w:r>
          </w:p>
        </w:tc>
      </w:tr>
      <w:tr w:rsidR="008C6CDE" w:rsidRPr="008C6CDE" w:rsidTr="008C6CDE">
        <w:trPr>
          <w:trHeight w:val="144"/>
        </w:trPr>
        <w:tc>
          <w:tcPr>
            <w:tcW w:w="617" w:type="dxa"/>
            <w:tcBorders>
              <w:top w:val="nil"/>
              <w:left w:val="nil"/>
              <w:bottom w:val="nil"/>
              <w:right w:val="nil"/>
            </w:tcBorders>
            <w:noWrap/>
            <w:vAlign w:val="center"/>
          </w:tcPr>
          <w:p w:rsidR="008C6CDE" w:rsidRPr="008C6CDE" w:rsidRDefault="008C6CDE" w:rsidP="008C6CDE">
            <w:pPr>
              <w:spacing w:after="0" w:line="240" w:lineRule="auto"/>
              <w:jc w:val="center"/>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2010</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6753.7</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76.77</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2012.5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6945.6</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76.06</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2012.5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6943.9</w:t>
            </w:r>
          </w:p>
        </w:tc>
        <w:tc>
          <w:tcPr>
            <w:tcW w:w="694"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76.07</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2015.0</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7134.0</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75.21</w:t>
            </w:r>
          </w:p>
        </w:tc>
        <w:tc>
          <w:tcPr>
            <w:tcW w:w="621"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76.04</w:t>
            </w:r>
          </w:p>
        </w:tc>
      </w:tr>
      <w:tr w:rsidR="008C6CDE" w:rsidRPr="008C6CDE" w:rsidTr="008C6CDE">
        <w:trPr>
          <w:trHeight w:val="144"/>
        </w:trPr>
        <w:tc>
          <w:tcPr>
            <w:tcW w:w="617" w:type="dxa"/>
            <w:tcBorders>
              <w:top w:val="nil"/>
              <w:left w:val="nil"/>
              <w:bottom w:val="nil"/>
              <w:right w:val="nil"/>
            </w:tcBorders>
            <w:noWrap/>
            <w:vAlign w:val="center"/>
          </w:tcPr>
          <w:p w:rsidR="008C6CDE" w:rsidRPr="008C6CDE" w:rsidRDefault="008C6CDE" w:rsidP="008C6CDE">
            <w:pPr>
              <w:spacing w:after="0" w:line="240" w:lineRule="auto"/>
              <w:jc w:val="center"/>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2015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7133.9</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75.21</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2017.5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7321.9</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74.21</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2017.5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7319.4</w:t>
            </w:r>
          </w:p>
        </w:tc>
        <w:tc>
          <w:tcPr>
            <w:tcW w:w="694"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74.23</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2020.0</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7505.0</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73.09</w:t>
            </w:r>
          </w:p>
        </w:tc>
        <w:tc>
          <w:tcPr>
            <w:tcW w:w="621"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74.20</w:t>
            </w:r>
          </w:p>
        </w:tc>
      </w:tr>
      <w:tr w:rsidR="008C6CDE" w:rsidRPr="008C6CDE" w:rsidTr="008C6CDE">
        <w:trPr>
          <w:trHeight w:val="144"/>
        </w:trPr>
        <w:tc>
          <w:tcPr>
            <w:tcW w:w="617" w:type="dxa"/>
            <w:tcBorders>
              <w:top w:val="nil"/>
              <w:left w:val="nil"/>
              <w:bottom w:val="nil"/>
              <w:right w:val="nil"/>
            </w:tcBorders>
            <w:noWrap/>
            <w:vAlign w:val="center"/>
          </w:tcPr>
          <w:p w:rsidR="008C6CDE" w:rsidRPr="008C6CDE" w:rsidRDefault="008C6CDE" w:rsidP="008C6CDE">
            <w:pPr>
              <w:spacing w:after="0" w:line="240" w:lineRule="auto"/>
              <w:jc w:val="center"/>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2020</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7504.9</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73.09</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2022.5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7687.6</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71.83</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2022.5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7684.5</w:t>
            </w:r>
          </w:p>
        </w:tc>
        <w:tc>
          <w:tcPr>
            <w:tcW w:w="694"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71.85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2025.0</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7864.2</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70.47</w:t>
            </w:r>
          </w:p>
        </w:tc>
        <w:tc>
          <w:tcPr>
            <w:tcW w:w="621"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71.82</w:t>
            </w:r>
          </w:p>
        </w:tc>
      </w:tr>
      <w:tr w:rsidR="008C6CDE" w:rsidRPr="008C6CDE" w:rsidTr="008C6CDE">
        <w:trPr>
          <w:trHeight w:val="144"/>
        </w:trPr>
        <w:tc>
          <w:tcPr>
            <w:tcW w:w="617" w:type="dxa"/>
            <w:tcBorders>
              <w:top w:val="nil"/>
              <w:left w:val="nil"/>
              <w:bottom w:val="nil"/>
              <w:right w:val="nil"/>
            </w:tcBorders>
            <w:noWrap/>
            <w:vAlign w:val="center"/>
          </w:tcPr>
          <w:p w:rsidR="008C6CDE" w:rsidRPr="008C6CDE" w:rsidRDefault="008C6CDE" w:rsidP="008C6CDE">
            <w:pPr>
              <w:spacing w:after="0" w:line="240" w:lineRule="auto"/>
              <w:jc w:val="center"/>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2025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7864.0</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70.47</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2027.5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8040.2</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68.98</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2027.5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8036.5</w:t>
            </w:r>
          </w:p>
        </w:tc>
        <w:tc>
          <w:tcPr>
            <w:tcW w:w="694"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69.01</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2030.0</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8209.1</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67.43</w:t>
            </w:r>
          </w:p>
        </w:tc>
        <w:tc>
          <w:tcPr>
            <w:tcW w:w="621"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68.98</w:t>
            </w:r>
          </w:p>
        </w:tc>
      </w:tr>
      <w:tr w:rsidR="008C6CDE" w:rsidRPr="008C6CDE" w:rsidTr="008C6CDE">
        <w:trPr>
          <w:trHeight w:val="144"/>
        </w:trPr>
        <w:tc>
          <w:tcPr>
            <w:tcW w:w="617" w:type="dxa"/>
            <w:tcBorders>
              <w:top w:val="nil"/>
              <w:left w:val="nil"/>
              <w:bottom w:val="nil"/>
              <w:right w:val="nil"/>
            </w:tcBorders>
            <w:noWrap/>
            <w:vAlign w:val="center"/>
          </w:tcPr>
          <w:p w:rsidR="008C6CDE" w:rsidRPr="008C6CDE" w:rsidRDefault="008C6CDE" w:rsidP="008C6CDE">
            <w:pPr>
              <w:spacing w:after="0" w:line="240" w:lineRule="auto"/>
              <w:jc w:val="center"/>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2030</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8208.9</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67.43</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2032.5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8377.5</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65.75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2032.5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8373.3</w:t>
            </w:r>
          </w:p>
        </w:tc>
        <w:tc>
          <w:tcPr>
            <w:tcW w:w="694"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65.80</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2035.0</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8537.9</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64.04</w:t>
            </w:r>
          </w:p>
        </w:tc>
        <w:tc>
          <w:tcPr>
            <w:tcW w:w="621"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65.76</w:t>
            </w:r>
          </w:p>
        </w:tc>
      </w:tr>
      <w:tr w:rsidR="008C6CDE" w:rsidRPr="008C6CDE" w:rsidTr="008C6CDE">
        <w:trPr>
          <w:trHeight w:val="144"/>
        </w:trPr>
        <w:tc>
          <w:tcPr>
            <w:tcW w:w="617" w:type="dxa"/>
            <w:tcBorders>
              <w:top w:val="nil"/>
              <w:left w:val="nil"/>
              <w:bottom w:val="nil"/>
              <w:right w:val="nil"/>
            </w:tcBorders>
            <w:noWrap/>
            <w:vAlign w:val="center"/>
          </w:tcPr>
          <w:p w:rsidR="008C6CDE" w:rsidRPr="008C6CDE" w:rsidRDefault="008C6CDE" w:rsidP="008C6CDE">
            <w:pPr>
              <w:spacing w:after="0" w:line="240" w:lineRule="auto"/>
              <w:jc w:val="center"/>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2035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8537.7</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64.05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2037.5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8697.8</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62.23</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2037.5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8693.3</w:t>
            </w:r>
          </w:p>
        </w:tc>
        <w:tc>
          <w:tcPr>
            <w:tcW w:w="694"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62.28</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2040.0</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8849.1</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60.41</w:t>
            </w:r>
          </w:p>
        </w:tc>
        <w:tc>
          <w:tcPr>
            <w:tcW w:w="621"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62.25</w:t>
            </w:r>
          </w:p>
        </w:tc>
      </w:tr>
      <w:tr w:rsidR="008C6CDE" w:rsidRPr="008C6CDE" w:rsidTr="008C6CDE">
        <w:trPr>
          <w:trHeight w:val="144"/>
        </w:trPr>
        <w:tc>
          <w:tcPr>
            <w:tcW w:w="617" w:type="dxa"/>
            <w:tcBorders>
              <w:top w:val="nil"/>
              <w:left w:val="nil"/>
              <w:bottom w:val="nil"/>
              <w:right w:val="nil"/>
            </w:tcBorders>
            <w:noWrap/>
            <w:vAlign w:val="center"/>
          </w:tcPr>
          <w:p w:rsidR="008C6CDE" w:rsidRPr="008C6CDE" w:rsidRDefault="008C6CDE" w:rsidP="008C6CDE">
            <w:pPr>
              <w:spacing w:after="0" w:line="240" w:lineRule="auto"/>
              <w:jc w:val="center"/>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2040</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8849.0</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60.41</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2042.5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9000.0</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58.50</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2042.5</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8995.2</w:t>
            </w:r>
          </w:p>
        </w:tc>
        <w:tc>
          <w:tcPr>
            <w:tcW w:w="694"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58.56</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2045.0</w:t>
            </w:r>
          </w:p>
        </w:tc>
        <w:tc>
          <w:tcPr>
            <w:tcW w:w="7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9141.8</w:t>
            </w:r>
          </w:p>
        </w:tc>
        <w:tc>
          <w:tcPr>
            <w:tcW w:w="667"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56.61</w:t>
            </w:r>
          </w:p>
        </w:tc>
        <w:tc>
          <w:tcPr>
            <w:tcW w:w="621" w:type="dxa"/>
            <w:tcBorders>
              <w:top w:val="nil"/>
              <w:left w:val="nil"/>
              <w:bottom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58.53</w:t>
            </w:r>
          </w:p>
        </w:tc>
      </w:tr>
      <w:tr w:rsidR="008C6CDE" w:rsidRPr="008C6CDE" w:rsidTr="008C6CDE">
        <w:trPr>
          <w:trHeight w:val="144"/>
        </w:trPr>
        <w:tc>
          <w:tcPr>
            <w:tcW w:w="617" w:type="dxa"/>
            <w:tcBorders>
              <w:top w:val="nil"/>
              <w:left w:val="nil"/>
              <w:right w:val="nil"/>
            </w:tcBorders>
            <w:noWrap/>
            <w:vAlign w:val="center"/>
          </w:tcPr>
          <w:p w:rsidR="008C6CDE" w:rsidRPr="008C6CDE" w:rsidRDefault="008C6CDE" w:rsidP="008C6CDE">
            <w:pPr>
              <w:spacing w:after="0" w:line="240" w:lineRule="auto"/>
              <w:jc w:val="center"/>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2045</w:t>
            </w:r>
          </w:p>
        </w:tc>
        <w:tc>
          <w:tcPr>
            <w:tcW w:w="767" w:type="dxa"/>
            <w:tcBorders>
              <w:top w:val="nil"/>
              <w:left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9141.6</w:t>
            </w:r>
          </w:p>
        </w:tc>
        <w:tc>
          <w:tcPr>
            <w:tcW w:w="667" w:type="dxa"/>
            <w:tcBorders>
              <w:top w:val="nil"/>
              <w:left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56.62</w:t>
            </w:r>
          </w:p>
        </w:tc>
        <w:tc>
          <w:tcPr>
            <w:tcW w:w="767" w:type="dxa"/>
            <w:tcBorders>
              <w:top w:val="nil"/>
              <w:left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2047.5</w:t>
            </w:r>
          </w:p>
        </w:tc>
        <w:tc>
          <w:tcPr>
            <w:tcW w:w="767" w:type="dxa"/>
            <w:tcBorders>
              <w:top w:val="nil"/>
              <w:left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9283.1</w:t>
            </w:r>
          </w:p>
        </w:tc>
        <w:tc>
          <w:tcPr>
            <w:tcW w:w="667" w:type="dxa"/>
            <w:tcBorders>
              <w:top w:val="nil"/>
              <w:left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54.65</w:t>
            </w:r>
          </w:p>
        </w:tc>
        <w:tc>
          <w:tcPr>
            <w:tcW w:w="767" w:type="dxa"/>
            <w:tcBorders>
              <w:top w:val="nil"/>
              <w:left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2047.5</w:t>
            </w:r>
          </w:p>
        </w:tc>
        <w:tc>
          <w:tcPr>
            <w:tcW w:w="767" w:type="dxa"/>
            <w:tcBorders>
              <w:top w:val="nil"/>
              <w:left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9278.2</w:t>
            </w:r>
          </w:p>
        </w:tc>
        <w:tc>
          <w:tcPr>
            <w:tcW w:w="694" w:type="dxa"/>
            <w:tcBorders>
              <w:top w:val="nil"/>
              <w:left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54.72</w:t>
            </w:r>
          </w:p>
        </w:tc>
        <w:tc>
          <w:tcPr>
            <w:tcW w:w="767" w:type="dxa"/>
            <w:tcBorders>
              <w:top w:val="nil"/>
              <w:left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2050.0</w:t>
            </w:r>
          </w:p>
        </w:tc>
        <w:tc>
          <w:tcPr>
            <w:tcW w:w="767" w:type="dxa"/>
            <w:tcBorders>
              <w:top w:val="nil"/>
              <w:left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9415.2</w:t>
            </w:r>
          </w:p>
        </w:tc>
        <w:tc>
          <w:tcPr>
            <w:tcW w:w="667" w:type="dxa"/>
            <w:tcBorders>
              <w:top w:val="nil"/>
              <w:left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52.73</w:t>
            </w:r>
          </w:p>
        </w:tc>
        <w:tc>
          <w:tcPr>
            <w:tcW w:w="621" w:type="dxa"/>
            <w:tcBorders>
              <w:top w:val="nil"/>
              <w:left w:val="nil"/>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54.68</w:t>
            </w:r>
          </w:p>
        </w:tc>
      </w:tr>
      <w:tr w:rsidR="008C6CDE" w:rsidRPr="008C6CDE" w:rsidTr="008C6CDE">
        <w:trPr>
          <w:trHeight w:val="144"/>
        </w:trPr>
        <w:tc>
          <w:tcPr>
            <w:tcW w:w="617" w:type="dxa"/>
            <w:tcBorders>
              <w:top w:val="nil"/>
              <w:left w:val="nil"/>
              <w:bottom w:val="single" w:sz="12" w:space="0" w:color="auto"/>
              <w:right w:val="nil"/>
            </w:tcBorders>
            <w:noWrap/>
            <w:vAlign w:val="center"/>
          </w:tcPr>
          <w:p w:rsidR="008C6CDE" w:rsidRPr="008C6CDE" w:rsidRDefault="008C6CDE" w:rsidP="008C6CDE">
            <w:pPr>
              <w:spacing w:after="0" w:line="240" w:lineRule="auto"/>
              <w:jc w:val="center"/>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2050</w:t>
            </w:r>
          </w:p>
        </w:tc>
        <w:tc>
          <w:tcPr>
            <w:tcW w:w="767" w:type="dxa"/>
            <w:tcBorders>
              <w:top w:val="nil"/>
              <w:left w:val="nil"/>
              <w:bottom w:val="single" w:sz="12" w:space="0" w:color="auto"/>
              <w:right w:val="nil"/>
            </w:tcBorders>
            <w:noWrap/>
            <w:vAlign w:val="center"/>
          </w:tcPr>
          <w:p w:rsidR="008C6CDE" w:rsidRPr="008C6CDE" w:rsidRDefault="008C6CDE" w:rsidP="008C6CDE">
            <w:pPr>
              <w:spacing w:after="0" w:line="240" w:lineRule="auto"/>
              <w:jc w:val="right"/>
              <w:rPr>
                <w:rFonts w:ascii="STIX MathJax Main" w:eastAsia="Times New Roman" w:hAnsi="STIX MathJax Main" w:cs="STIX MathJax Main"/>
                <w:sz w:val="18"/>
                <w:szCs w:val="18"/>
                <w:lang w:val="en-GB"/>
              </w:rPr>
            </w:pPr>
            <w:r w:rsidRPr="008C6CDE">
              <w:rPr>
                <w:rFonts w:ascii="STIX" w:eastAsia="Times New Roman" w:hAnsi="STIX" w:cs="STIX MathJax Main"/>
                <w:sz w:val="18"/>
                <w:szCs w:val="18"/>
                <w:lang w:val="en-GB"/>
              </w:rPr>
              <w:t>9415.0</w:t>
            </w:r>
          </w:p>
        </w:tc>
        <w:tc>
          <w:tcPr>
            <w:tcW w:w="667" w:type="dxa"/>
            <w:tcBorders>
              <w:top w:val="nil"/>
              <w:left w:val="nil"/>
              <w:bottom w:val="single" w:sz="12" w:space="0" w:color="auto"/>
              <w:right w:val="nil"/>
            </w:tcBorders>
            <w:noWrap/>
            <w:vAlign w:val="center"/>
          </w:tcPr>
          <w:p w:rsidR="008C6CDE" w:rsidRPr="008C6CDE" w:rsidRDefault="008C6CDE" w:rsidP="008C6CDE">
            <w:pPr>
              <w:spacing w:after="0" w:line="240" w:lineRule="auto"/>
              <w:rPr>
                <w:rFonts w:ascii="STIX MathJax Main" w:eastAsia="Times New Roman" w:hAnsi="STIX MathJax Main" w:cs="STIX MathJax Main"/>
                <w:sz w:val="18"/>
                <w:szCs w:val="18"/>
                <w:lang w:val="en-GB"/>
              </w:rPr>
            </w:pPr>
          </w:p>
        </w:tc>
        <w:tc>
          <w:tcPr>
            <w:tcW w:w="767" w:type="dxa"/>
            <w:tcBorders>
              <w:top w:val="nil"/>
              <w:left w:val="nil"/>
              <w:bottom w:val="single" w:sz="12" w:space="0" w:color="auto"/>
              <w:right w:val="nil"/>
            </w:tcBorders>
            <w:noWrap/>
            <w:vAlign w:val="center"/>
          </w:tcPr>
          <w:p w:rsidR="008C6CDE" w:rsidRPr="008C6CDE" w:rsidRDefault="008C6CDE" w:rsidP="008C6CDE">
            <w:pPr>
              <w:spacing w:after="0" w:line="240" w:lineRule="auto"/>
              <w:rPr>
                <w:rFonts w:ascii="STIX MathJax Main" w:eastAsia="Times New Roman" w:hAnsi="STIX MathJax Main" w:cs="STIX MathJax Main"/>
                <w:sz w:val="18"/>
                <w:szCs w:val="18"/>
                <w:lang w:val="en-GB"/>
              </w:rPr>
            </w:pPr>
          </w:p>
        </w:tc>
        <w:tc>
          <w:tcPr>
            <w:tcW w:w="767" w:type="dxa"/>
            <w:tcBorders>
              <w:top w:val="nil"/>
              <w:left w:val="nil"/>
              <w:bottom w:val="single" w:sz="12" w:space="0" w:color="auto"/>
              <w:right w:val="nil"/>
            </w:tcBorders>
            <w:noWrap/>
            <w:vAlign w:val="center"/>
          </w:tcPr>
          <w:p w:rsidR="008C6CDE" w:rsidRPr="008C6CDE" w:rsidRDefault="008C6CDE" w:rsidP="008C6CDE">
            <w:pPr>
              <w:spacing w:after="0" w:line="240" w:lineRule="auto"/>
              <w:rPr>
                <w:rFonts w:ascii="STIX MathJax Main" w:eastAsia="Times New Roman" w:hAnsi="STIX MathJax Main" w:cs="STIX MathJax Main"/>
                <w:sz w:val="18"/>
                <w:szCs w:val="18"/>
                <w:lang w:val="en-GB"/>
              </w:rPr>
            </w:pPr>
          </w:p>
        </w:tc>
        <w:tc>
          <w:tcPr>
            <w:tcW w:w="667" w:type="dxa"/>
            <w:tcBorders>
              <w:top w:val="nil"/>
              <w:left w:val="nil"/>
              <w:bottom w:val="single" w:sz="12" w:space="0" w:color="auto"/>
              <w:right w:val="nil"/>
            </w:tcBorders>
            <w:noWrap/>
            <w:vAlign w:val="center"/>
          </w:tcPr>
          <w:p w:rsidR="008C6CDE" w:rsidRPr="008C6CDE" w:rsidRDefault="008C6CDE" w:rsidP="008C6CDE">
            <w:pPr>
              <w:spacing w:after="0" w:line="240" w:lineRule="auto"/>
              <w:rPr>
                <w:rFonts w:ascii="STIX MathJax Main" w:eastAsia="Times New Roman" w:hAnsi="STIX MathJax Main" w:cs="STIX MathJax Main"/>
                <w:sz w:val="18"/>
                <w:szCs w:val="18"/>
                <w:lang w:val="en-GB"/>
              </w:rPr>
            </w:pPr>
          </w:p>
        </w:tc>
        <w:tc>
          <w:tcPr>
            <w:tcW w:w="767" w:type="dxa"/>
            <w:tcBorders>
              <w:top w:val="nil"/>
              <w:left w:val="nil"/>
              <w:bottom w:val="single" w:sz="12" w:space="0" w:color="auto"/>
              <w:right w:val="nil"/>
            </w:tcBorders>
            <w:noWrap/>
            <w:vAlign w:val="center"/>
          </w:tcPr>
          <w:p w:rsidR="008C6CDE" w:rsidRPr="008C6CDE" w:rsidRDefault="008C6CDE" w:rsidP="008C6CDE">
            <w:pPr>
              <w:spacing w:after="0" w:line="240" w:lineRule="auto"/>
              <w:rPr>
                <w:rFonts w:ascii="STIX MathJax Main" w:eastAsia="Times New Roman" w:hAnsi="STIX MathJax Main" w:cs="STIX MathJax Main"/>
                <w:sz w:val="18"/>
                <w:szCs w:val="18"/>
                <w:lang w:val="en-GB"/>
              </w:rPr>
            </w:pPr>
          </w:p>
        </w:tc>
        <w:tc>
          <w:tcPr>
            <w:tcW w:w="767" w:type="dxa"/>
            <w:tcBorders>
              <w:top w:val="nil"/>
              <w:left w:val="nil"/>
              <w:bottom w:val="single" w:sz="12" w:space="0" w:color="auto"/>
              <w:right w:val="nil"/>
            </w:tcBorders>
            <w:noWrap/>
            <w:vAlign w:val="center"/>
          </w:tcPr>
          <w:p w:rsidR="008C6CDE" w:rsidRPr="008C6CDE" w:rsidRDefault="008C6CDE" w:rsidP="008C6CDE">
            <w:pPr>
              <w:spacing w:after="0" w:line="240" w:lineRule="auto"/>
              <w:rPr>
                <w:rFonts w:ascii="STIX MathJax Main" w:eastAsia="Times New Roman" w:hAnsi="STIX MathJax Main" w:cs="STIX MathJax Main"/>
                <w:sz w:val="18"/>
                <w:szCs w:val="18"/>
                <w:lang w:val="en-GB"/>
              </w:rPr>
            </w:pPr>
          </w:p>
        </w:tc>
        <w:tc>
          <w:tcPr>
            <w:tcW w:w="694" w:type="dxa"/>
            <w:tcBorders>
              <w:top w:val="nil"/>
              <w:left w:val="nil"/>
              <w:bottom w:val="single" w:sz="12" w:space="0" w:color="auto"/>
              <w:right w:val="nil"/>
            </w:tcBorders>
            <w:noWrap/>
            <w:vAlign w:val="center"/>
          </w:tcPr>
          <w:p w:rsidR="008C6CDE" w:rsidRPr="008C6CDE" w:rsidRDefault="008C6CDE" w:rsidP="008C6CDE">
            <w:pPr>
              <w:spacing w:after="0" w:line="240" w:lineRule="auto"/>
              <w:rPr>
                <w:rFonts w:ascii="STIX MathJax Main" w:eastAsia="Times New Roman" w:hAnsi="STIX MathJax Main" w:cs="STIX MathJax Main"/>
                <w:sz w:val="18"/>
                <w:szCs w:val="18"/>
                <w:lang w:val="en-GB"/>
              </w:rPr>
            </w:pPr>
          </w:p>
        </w:tc>
        <w:tc>
          <w:tcPr>
            <w:tcW w:w="767" w:type="dxa"/>
            <w:tcBorders>
              <w:top w:val="nil"/>
              <w:left w:val="nil"/>
              <w:bottom w:val="single" w:sz="12" w:space="0" w:color="auto"/>
              <w:right w:val="nil"/>
            </w:tcBorders>
            <w:noWrap/>
            <w:vAlign w:val="center"/>
          </w:tcPr>
          <w:p w:rsidR="008C6CDE" w:rsidRPr="008C6CDE" w:rsidRDefault="008C6CDE" w:rsidP="008C6CDE">
            <w:pPr>
              <w:spacing w:after="0" w:line="240" w:lineRule="auto"/>
              <w:rPr>
                <w:rFonts w:ascii="STIX MathJax Main" w:eastAsia="Times New Roman" w:hAnsi="STIX MathJax Main" w:cs="STIX MathJax Main"/>
                <w:sz w:val="18"/>
                <w:szCs w:val="18"/>
                <w:lang w:val="en-GB"/>
              </w:rPr>
            </w:pPr>
          </w:p>
        </w:tc>
        <w:tc>
          <w:tcPr>
            <w:tcW w:w="767" w:type="dxa"/>
            <w:tcBorders>
              <w:top w:val="nil"/>
              <w:left w:val="nil"/>
              <w:bottom w:val="single" w:sz="12" w:space="0" w:color="auto"/>
              <w:right w:val="nil"/>
            </w:tcBorders>
            <w:noWrap/>
            <w:vAlign w:val="center"/>
          </w:tcPr>
          <w:p w:rsidR="008C6CDE" w:rsidRPr="008C6CDE" w:rsidRDefault="008C6CDE" w:rsidP="008C6CDE">
            <w:pPr>
              <w:spacing w:after="0" w:line="240" w:lineRule="auto"/>
              <w:rPr>
                <w:rFonts w:ascii="STIX MathJax Main" w:eastAsia="Times New Roman" w:hAnsi="STIX MathJax Main" w:cs="STIX MathJax Main"/>
                <w:sz w:val="18"/>
                <w:szCs w:val="18"/>
                <w:lang w:val="en-GB"/>
              </w:rPr>
            </w:pPr>
          </w:p>
        </w:tc>
        <w:tc>
          <w:tcPr>
            <w:tcW w:w="667" w:type="dxa"/>
            <w:tcBorders>
              <w:top w:val="nil"/>
              <w:left w:val="nil"/>
              <w:bottom w:val="single" w:sz="12" w:space="0" w:color="auto"/>
              <w:right w:val="nil"/>
            </w:tcBorders>
            <w:noWrap/>
            <w:vAlign w:val="center"/>
          </w:tcPr>
          <w:p w:rsidR="008C6CDE" w:rsidRPr="008C6CDE" w:rsidRDefault="008C6CDE" w:rsidP="008C6CDE">
            <w:pPr>
              <w:spacing w:after="0" w:line="240" w:lineRule="auto"/>
              <w:rPr>
                <w:rFonts w:ascii="STIX MathJax Main" w:eastAsia="Times New Roman" w:hAnsi="STIX MathJax Main" w:cs="STIX MathJax Main"/>
                <w:sz w:val="18"/>
                <w:szCs w:val="18"/>
                <w:lang w:val="en-GB"/>
              </w:rPr>
            </w:pPr>
          </w:p>
        </w:tc>
        <w:tc>
          <w:tcPr>
            <w:tcW w:w="621" w:type="dxa"/>
            <w:tcBorders>
              <w:top w:val="nil"/>
              <w:left w:val="nil"/>
              <w:bottom w:val="single" w:sz="12" w:space="0" w:color="auto"/>
              <w:right w:val="nil"/>
            </w:tcBorders>
            <w:noWrap/>
            <w:vAlign w:val="center"/>
          </w:tcPr>
          <w:p w:rsidR="008C6CDE" w:rsidRPr="008C6CDE" w:rsidRDefault="008C6CDE" w:rsidP="008C6CDE">
            <w:pPr>
              <w:spacing w:after="0" w:line="240" w:lineRule="auto"/>
              <w:rPr>
                <w:rFonts w:ascii="STIX MathJax Main" w:eastAsia="Times New Roman" w:hAnsi="STIX MathJax Main" w:cs="STIX MathJax Main"/>
                <w:sz w:val="18"/>
                <w:szCs w:val="18"/>
                <w:lang w:val="en-GB"/>
              </w:rPr>
            </w:pPr>
          </w:p>
        </w:tc>
      </w:tr>
    </w:tbl>
    <w:p w:rsidR="008C6CDE" w:rsidRPr="008C6CDE" w:rsidRDefault="008C6CDE" w:rsidP="008C6CDE">
      <w:pPr>
        <w:spacing w:after="0" w:line="240" w:lineRule="auto"/>
        <w:rPr>
          <w:rFonts w:ascii="STIX" w:eastAsia="Times New Roman" w:hAnsi="STIX"/>
          <w:sz w:val="20"/>
          <w:szCs w:val="24"/>
          <w:lang w:val="en-GB"/>
        </w:rPr>
      </w:pPr>
      <w:r w:rsidRPr="008C6CDE">
        <w:rPr>
          <w:rFonts w:ascii="STIX" w:eastAsia="Times New Roman" w:hAnsi="STIX"/>
          <w:sz w:val="20"/>
          <w:szCs w:val="24"/>
        </w:rPr>
        <w:drawing>
          <wp:inline distT="0" distB="0" distL="0" distR="0">
            <wp:extent cx="2628900" cy="1485900"/>
            <wp:effectExtent l="0" t="0" r="0" b="0"/>
            <wp:docPr id="47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 cstate="print"/>
                    <a:srcRect/>
                    <a:stretch>
                      <a:fillRect/>
                    </a:stretch>
                  </pic:blipFill>
                  <pic:spPr bwMode="auto">
                    <a:xfrm>
                      <a:off x="0" y="0"/>
                      <a:ext cx="2628900" cy="1485900"/>
                    </a:xfrm>
                    <a:prstGeom prst="rect">
                      <a:avLst/>
                    </a:prstGeom>
                    <a:noFill/>
                    <a:ln w="9525">
                      <a:noFill/>
                      <a:miter lim="800000"/>
                      <a:headEnd/>
                      <a:tailEnd/>
                    </a:ln>
                  </pic:spPr>
                </pic:pic>
              </a:graphicData>
            </a:graphic>
          </wp:inline>
        </w:drawing>
      </w:r>
    </w:p>
    <w:p w:rsidR="008C6CDE" w:rsidRPr="008C6CDE" w:rsidRDefault="008C6CDE" w:rsidP="008C6CDE">
      <w:pPr>
        <w:spacing w:after="0" w:line="240" w:lineRule="auto"/>
        <w:rPr>
          <w:rFonts w:ascii="STIX" w:eastAsia="Times New Roman" w:hAnsi="STIX"/>
          <w:sz w:val="20"/>
          <w:szCs w:val="24"/>
          <w:lang w:val="en-GB"/>
        </w:rPr>
      </w:pPr>
    </w:p>
    <w:p w:rsidR="008C6CDE" w:rsidRPr="008C6CDE" w:rsidRDefault="008C6CDE" w:rsidP="008C6CDE">
      <w:pPr>
        <w:spacing w:after="0" w:line="240" w:lineRule="auto"/>
        <w:rPr>
          <w:rFonts w:ascii="STIX" w:eastAsia="Times New Roman" w:hAnsi="STIX"/>
          <w:sz w:val="20"/>
          <w:szCs w:val="24"/>
          <w:lang w:val="en-GB"/>
        </w:rPr>
      </w:pPr>
      <w:r w:rsidRPr="008C6CDE">
        <w:rPr>
          <w:rFonts w:ascii="STIX" w:eastAsia="Times New Roman" w:hAnsi="STIX"/>
          <w:sz w:val="20"/>
          <w:szCs w:val="24"/>
          <w:lang w:val="en-GB"/>
        </w:rPr>
        <w:t>Thus, the RK4 results are so close to the analytical solution that the two results are indistinguishable graphically.</w:t>
      </w:r>
    </w:p>
    <w:sectPr w:rsidR="008C6CDE" w:rsidRPr="008C6CDE" w:rsidSect="002C1C68">
      <w:footerReference w:type="default" r:id="rId11"/>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7CD8"/>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FAA9-88A6-4664-B24D-F2CE96C0C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339</Words>
  <Characters>1934</Characters>
  <Application>Microsoft Office Word</Application>
  <DocSecurity>0</DocSecurity>
  <Lines>16</Lines>
  <Paragraphs>4</Paragraphs>
  <ScaleCrop>false</ScaleCrop>
  <Company/>
  <LinksUpToDate>false</LinksUpToDate>
  <CharactersWithSpaces>2269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2017-03-31T20:16:00Z</dcterms:created>
  <dcterms:modified xsi:type="dcterms:W3CDTF">2017-03-31T20:16:00Z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