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E96087">
        <w:rPr>
          <w:b/>
          <w:noProof/>
          <w:sz w:val="20"/>
          <w:szCs w:val="20"/>
        </w:rPr>
        <w:t>2.9</w:t>
      </w:r>
    </w:p>
    <w:p w:rsidR="005375C4" w:rsidRDefault="005375C4" w:rsidP="005375C4">
      <w:pPr>
        <w:spacing w:after="0" w:line="240" w:lineRule="auto"/>
        <w:rPr>
          <w:rFonts w:ascii="STIX" w:eastAsia="Times New Roman" w:hAnsi="STIX"/>
          <w:sz w:val="20"/>
          <w:szCs w:val="24"/>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lang w:val="en-GB"/>
        </w:rPr>
        <w:t>The second-order equation can be re-expressed as a system of two first-order ODEs,</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56"/>
          <w:sz w:val="20"/>
          <w:szCs w:val="24"/>
          <w:lang w:val="en-GB"/>
        </w:rPr>
        <w:object w:dxaOrig="96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484" type="#_x0000_t75" style="width:48pt;height:62.25pt" o:ole="">
            <v:imagedata r:id="rId8" o:title=""/>
          </v:shape>
          <o:OLEObject Type="Embed" ProgID="Equation.DSMT4" ShapeID="_x0000_i6484" DrawAspect="Content" ObjectID="_1552491495" r:id="rId9"/>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b/>
          <w:sz w:val="20"/>
          <w:szCs w:val="24"/>
          <w:lang w:val="en-GB"/>
        </w:rPr>
        <w:t>(a)</w:t>
      </w:r>
      <w:r w:rsidRPr="00E96087">
        <w:rPr>
          <w:rFonts w:ascii="STIX" w:eastAsia="Times New Roman" w:hAnsi="STIX"/>
          <w:sz w:val="20"/>
          <w:szCs w:val="24"/>
          <w:lang w:val="en-GB"/>
        </w:rPr>
        <w:t xml:space="preserve"> Euler. Here are the first few steps along with the analytical solution. The remainder of the computation would be implemented in a similar fashion and the results displayed in the plot below.</w:t>
      </w:r>
    </w:p>
    <w:p w:rsidR="00E96087" w:rsidRPr="00E96087" w:rsidRDefault="00E96087" w:rsidP="00E96087">
      <w:pPr>
        <w:spacing w:after="0" w:line="240" w:lineRule="auto"/>
        <w:rPr>
          <w:rFonts w:ascii="STIX" w:eastAsia="Times New Roman" w:hAnsi="STIX"/>
          <w:sz w:val="20"/>
          <w:szCs w:val="24"/>
          <w:lang w:val="en-GB"/>
        </w:rPr>
      </w:pPr>
    </w:p>
    <w:tbl>
      <w:tblPr>
        <w:tblW w:w="5457" w:type="dxa"/>
        <w:tblInd w:w="628" w:type="dxa"/>
        <w:tblLook w:val="0000"/>
      </w:tblPr>
      <w:tblGrid>
        <w:gridCol w:w="470"/>
        <w:gridCol w:w="1008"/>
        <w:gridCol w:w="976"/>
        <w:gridCol w:w="976"/>
        <w:gridCol w:w="976"/>
        <w:gridCol w:w="1051"/>
      </w:tblGrid>
      <w:tr w:rsidR="00E96087" w:rsidRPr="00E96087" w:rsidTr="00FF7247">
        <w:trPr>
          <w:trHeight w:val="255"/>
        </w:trPr>
        <w:tc>
          <w:tcPr>
            <w:tcW w:w="470"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i/>
                <w:sz w:val="18"/>
                <w:szCs w:val="20"/>
                <w:lang w:val="en-GB"/>
              </w:rPr>
            </w:pPr>
            <w:r w:rsidRPr="00E96087">
              <w:rPr>
                <w:rFonts w:ascii="STIX" w:eastAsia="Times New Roman" w:hAnsi="STIX" w:cs="STIX MathJax Main"/>
                <w:b/>
                <w:i/>
                <w:sz w:val="18"/>
                <w:szCs w:val="20"/>
                <w:lang w:val="en-GB"/>
              </w:rPr>
              <w:t>t</w:t>
            </w:r>
          </w:p>
        </w:tc>
        <w:tc>
          <w:tcPr>
            <w:tcW w:w="1008"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y</w:t>
            </w:r>
            <w:r w:rsidRPr="00E96087">
              <w:rPr>
                <w:rFonts w:ascii="STIX" w:eastAsia="Times New Roman" w:hAnsi="STIX" w:cs="STIX MathJax Main"/>
                <w:b/>
                <w:sz w:val="18"/>
                <w:szCs w:val="20"/>
                <w:vertAlign w:val="subscript"/>
                <w:lang w:val="en-GB"/>
              </w:rPr>
              <w:t>Euler</w:t>
            </w:r>
          </w:p>
        </w:tc>
        <w:tc>
          <w:tcPr>
            <w:tcW w:w="976"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z</w:t>
            </w:r>
            <w:r w:rsidRPr="00E96087">
              <w:rPr>
                <w:rFonts w:ascii="STIX" w:eastAsia="Times New Roman" w:hAnsi="STIX" w:cs="STIX MathJax Main"/>
                <w:b/>
                <w:sz w:val="18"/>
                <w:szCs w:val="20"/>
                <w:vertAlign w:val="subscript"/>
                <w:lang w:val="en-GB"/>
              </w:rPr>
              <w:t>Euler</w:t>
            </w:r>
          </w:p>
        </w:tc>
        <w:tc>
          <w:tcPr>
            <w:tcW w:w="976"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dy</w:t>
            </w:r>
            <w:r w:rsidRPr="00E96087">
              <w:rPr>
                <w:rFonts w:ascii="Courier New" w:eastAsia="Times New Roman" w:hAnsi="Courier New" w:cs="STIX MathJax Main"/>
                <w:b/>
                <w:sz w:val="18"/>
                <w:szCs w:val="20"/>
                <w:lang w:val="en-GB"/>
              </w:rPr>
              <w:t>/</w:t>
            </w:r>
            <w:r w:rsidRPr="00E96087">
              <w:rPr>
                <w:rFonts w:ascii="STIX" w:eastAsia="Times New Roman" w:hAnsi="STIX" w:cs="STIX MathJax Main"/>
                <w:b/>
                <w:i/>
                <w:sz w:val="18"/>
                <w:szCs w:val="20"/>
                <w:lang w:val="en-GB"/>
              </w:rPr>
              <w:t>dt</w:t>
            </w:r>
          </w:p>
        </w:tc>
        <w:tc>
          <w:tcPr>
            <w:tcW w:w="976"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dz</w:t>
            </w:r>
            <w:r w:rsidRPr="00E96087">
              <w:rPr>
                <w:rFonts w:ascii="Courier New" w:eastAsia="Times New Roman" w:hAnsi="Courier New" w:cs="STIX MathJax Main"/>
                <w:b/>
                <w:sz w:val="18"/>
                <w:szCs w:val="20"/>
                <w:lang w:val="en-GB"/>
              </w:rPr>
              <w:t>/</w:t>
            </w:r>
            <w:r w:rsidRPr="00E96087">
              <w:rPr>
                <w:rFonts w:ascii="STIX" w:eastAsia="Times New Roman" w:hAnsi="STIX" w:cs="STIX MathJax Main"/>
                <w:b/>
                <w:i/>
                <w:sz w:val="18"/>
                <w:szCs w:val="20"/>
                <w:lang w:val="en-GB"/>
              </w:rPr>
              <w:t>dt</w:t>
            </w:r>
          </w:p>
        </w:tc>
        <w:tc>
          <w:tcPr>
            <w:tcW w:w="1051" w:type="dxa"/>
            <w:tcBorders>
              <w:top w:val="single" w:sz="12" w:space="0" w:color="auto"/>
              <w:left w:val="nil"/>
              <w:bottom w:val="single" w:sz="6" w:space="0" w:color="auto"/>
              <w:right w:val="nil"/>
            </w:tcBorders>
            <w:noWrap/>
            <w:vAlign w:val="bottom"/>
          </w:tcPr>
          <w:p w:rsidR="00E96087" w:rsidRPr="00E96087" w:rsidRDefault="00E96087" w:rsidP="00E96087">
            <w:pPr>
              <w:spacing w:after="0" w:line="240" w:lineRule="auto"/>
              <w:jc w:val="center"/>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y</w:t>
            </w:r>
            <w:r w:rsidRPr="00E96087">
              <w:rPr>
                <w:rFonts w:ascii="STIX" w:eastAsia="Times New Roman" w:hAnsi="STIX" w:cs="STIX MathJax Main"/>
                <w:b/>
                <w:sz w:val="18"/>
                <w:szCs w:val="20"/>
                <w:vertAlign w:val="subscript"/>
                <w:lang w:val="en-GB"/>
              </w:rPr>
              <w:t>analytical</w:t>
            </w:r>
          </w:p>
        </w:tc>
      </w:tr>
      <w:tr w:rsidR="00E96087" w:rsidRPr="00E96087" w:rsidTr="00FF7247">
        <w:trPr>
          <w:trHeight w:val="255"/>
        </w:trPr>
        <w:tc>
          <w:tcPr>
            <w:tcW w:w="470"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w:t>
            </w:r>
          </w:p>
        </w:tc>
        <w:tc>
          <w:tcPr>
            <w:tcW w:w="1008"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1</w:t>
            </w:r>
          </w:p>
        </w:tc>
        <w:tc>
          <w:tcPr>
            <w:tcW w:w="976"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w:t>
            </w:r>
          </w:p>
        </w:tc>
        <w:tc>
          <w:tcPr>
            <w:tcW w:w="976"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w:t>
            </w:r>
          </w:p>
        </w:tc>
        <w:tc>
          <w:tcPr>
            <w:tcW w:w="976"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9</w:t>
            </w:r>
          </w:p>
        </w:tc>
        <w:tc>
          <w:tcPr>
            <w:tcW w:w="1051" w:type="dxa"/>
            <w:tcBorders>
              <w:top w:val="single" w:sz="6" w:space="0" w:color="auto"/>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1</w:t>
            </w:r>
          </w:p>
        </w:tc>
      </w:tr>
      <w:tr w:rsidR="00E96087" w:rsidRPr="00E96087" w:rsidTr="00FF7247">
        <w:trPr>
          <w:trHeight w:val="255"/>
        </w:trPr>
        <w:tc>
          <w:tcPr>
            <w:tcW w:w="470"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0.1</w:t>
            </w:r>
          </w:p>
        </w:tc>
        <w:tc>
          <w:tcPr>
            <w:tcW w:w="1008"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1</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0.9</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0.9</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9</w:t>
            </w:r>
          </w:p>
        </w:tc>
        <w:tc>
          <w:tcPr>
            <w:tcW w:w="1051"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0.955336</w:t>
            </w:r>
          </w:p>
        </w:tc>
      </w:tr>
      <w:tr w:rsidR="00E96087" w:rsidRPr="00E96087" w:rsidTr="00FF7247">
        <w:trPr>
          <w:trHeight w:val="255"/>
        </w:trPr>
        <w:tc>
          <w:tcPr>
            <w:tcW w:w="470"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0.2</w:t>
            </w:r>
          </w:p>
        </w:tc>
        <w:tc>
          <w:tcPr>
            <w:tcW w:w="1008"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0.91</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1.8</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1.8</w:t>
            </w:r>
          </w:p>
        </w:tc>
        <w:tc>
          <w:tcPr>
            <w:tcW w:w="976"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8.19</w:t>
            </w:r>
          </w:p>
        </w:tc>
        <w:tc>
          <w:tcPr>
            <w:tcW w:w="1051" w:type="dxa"/>
            <w:tcBorders>
              <w:top w:val="nil"/>
              <w:left w:val="nil"/>
              <w:bottom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0.825336</w:t>
            </w:r>
          </w:p>
        </w:tc>
      </w:tr>
      <w:tr w:rsidR="00E96087" w:rsidRPr="00E96087" w:rsidTr="00FF7247">
        <w:trPr>
          <w:trHeight w:val="255"/>
        </w:trPr>
        <w:tc>
          <w:tcPr>
            <w:tcW w:w="470"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0.3</w:t>
            </w:r>
          </w:p>
        </w:tc>
        <w:tc>
          <w:tcPr>
            <w:tcW w:w="1008"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0.73</w:t>
            </w:r>
          </w:p>
        </w:tc>
        <w:tc>
          <w:tcPr>
            <w:tcW w:w="976"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2.619</w:t>
            </w:r>
          </w:p>
        </w:tc>
        <w:tc>
          <w:tcPr>
            <w:tcW w:w="976"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2.619</w:t>
            </w:r>
          </w:p>
        </w:tc>
        <w:tc>
          <w:tcPr>
            <w:tcW w:w="976"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6.57</w:t>
            </w:r>
          </w:p>
        </w:tc>
        <w:tc>
          <w:tcPr>
            <w:tcW w:w="1051" w:type="dxa"/>
            <w:tcBorders>
              <w:top w:val="nil"/>
              <w:left w:val="nil"/>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0.62161</w:t>
            </w:r>
          </w:p>
        </w:tc>
      </w:tr>
      <w:tr w:rsidR="00E96087" w:rsidRPr="00E96087" w:rsidTr="00FF7247">
        <w:trPr>
          <w:trHeight w:val="255"/>
        </w:trPr>
        <w:tc>
          <w:tcPr>
            <w:tcW w:w="470"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0.4</w:t>
            </w:r>
          </w:p>
        </w:tc>
        <w:tc>
          <w:tcPr>
            <w:tcW w:w="1008"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0.4681</w:t>
            </w:r>
          </w:p>
        </w:tc>
        <w:tc>
          <w:tcPr>
            <w:tcW w:w="976"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3.276</w:t>
            </w:r>
          </w:p>
        </w:tc>
        <w:tc>
          <w:tcPr>
            <w:tcW w:w="976"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3.276</w:t>
            </w:r>
          </w:p>
        </w:tc>
        <w:tc>
          <w:tcPr>
            <w:tcW w:w="976"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4.2129</w:t>
            </w:r>
          </w:p>
        </w:tc>
        <w:tc>
          <w:tcPr>
            <w:tcW w:w="1051" w:type="dxa"/>
            <w:tcBorders>
              <w:top w:val="nil"/>
              <w:left w:val="nil"/>
              <w:bottom w:val="single" w:sz="12" w:space="0" w:color="auto"/>
              <w:right w:val="nil"/>
            </w:tcBorders>
            <w:noWrap/>
            <w:vAlign w:val="bottom"/>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0.362358</w:t>
            </w:r>
          </w:p>
        </w:tc>
      </w:tr>
    </w:tbl>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rPr>
        <w:drawing>
          <wp:inline distT="0" distB="0" distL="0" distR="0">
            <wp:extent cx="2924175" cy="1400175"/>
            <wp:effectExtent l="0" t="0" r="0" b="0"/>
            <wp:docPr id="3683"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cstate="print"/>
                    <a:srcRect/>
                    <a:stretch>
                      <a:fillRect/>
                    </a:stretch>
                  </pic:blipFill>
                  <pic:spPr bwMode="auto">
                    <a:xfrm>
                      <a:off x="0" y="0"/>
                      <a:ext cx="2924175" cy="1400175"/>
                    </a:xfrm>
                    <a:prstGeom prst="rect">
                      <a:avLst/>
                    </a:prstGeom>
                    <a:noFill/>
                    <a:ln w="9525">
                      <a:noFill/>
                      <a:miter lim="800000"/>
                      <a:headEnd/>
                      <a:tailEnd/>
                    </a:ln>
                  </pic:spPr>
                </pic:pic>
              </a:graphicData>
            </a:graphic>
          </wp:inline>
        </w:drawing>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b/>
          <w:sz w:val="20"/>
          <w:szCs w:val="24"/>
          <w:lang w:val="en-GB"/>
        </w:rPr>
        <w:t>(b)</w:t>
      </w:r>
      <w:r w:rsidRPr="00E96087">
        <w:rPr>
          <w:rFonts w:ascii="STIX" w:eastAsia="Times New Roman" w:hAnsi="STIX"/>
          <w:sz w:val="20"/>
          <w:szCs w:val="24"/>
          <w:lang w:val="en-GB"/>
        </w:rPr>
        <w:t xml:space="preserve"> RK4. Here are the first few steps along with the analytical solution. The remainder of the computation would be implemented in a similar fashion and the results displayed in the plot below.</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32"/>
          <w:sz w:val="20"/>
          <w:szCs w:val="24"/>
          <w:lang w:val="en-GB"/>
        </w:rPr>
        <w:object w:dxaOrig="3300" w:dyaOrig="760">
          <v:shape id="_x0000_i6485" type="#_x0000_t75" style="width:165pt;height:38.25pt" o:ole="">
            <v:imagedata r:id="rId11" o:title=""/>
          </v:shape>
          <o:OLEObject Type="Embed" ProgID="Equation.DSMT4" ShapeID="_x0000_i6485" DrawAspect="Content" ObjectID="_1552491496" r:id="rId12"/>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28"/>
          <w:sz w:val="20"/>
          <w:szCs w:val="24"/>
          <w:lang w:val="en-GB"/>
        </w:rPr>
        <w:object w:dxaOrig="2799" w:dyaOrig="680">
          <v:shape id="_x0000_i6486" type="#_x0000_t75" style="width:140.25pt;height:33.75pt" o:ole="">
            <v:imagedata r:id="rId13" o:title=""/>
          </v:shape>
          <o:OLEObject Type="Embed" ProgID="Equation.DSMT4" ShapeID="_x0000_i6486" DrawAspect="Content" ObjectID="_1552491497" r:id="rId14"/>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32"/>
          <w:sz w:val="20"/>
          <w:szCs w:val="24"/>
          <w:lang w:val="en-GB"/>
        </w:rPr>
        <w:object w:dxaOrig="3420" w:dyaOrig="760">
          <v:shape id="_x0000_i6487" type="#_x0000_t75" style="width:171pt;height:38.25pt" o:ole="">
            <v:imagedata r:id="rId15" o:title=""/>
          </v:shape>
          <o:OLEObject Type="Embed" ProgID="Equation.DSMT4" ShapeID="_x0000_i6487" DrawAspect="Content" ObjectID="_1552491498" r:id="rId16"/>
        </w:object>
      </w:r>
    </w:p>
    <w:p w:rsidR="00E96087" w:rsidRDefault="00E96087" w:rsidP="00E96087">
      <w:pPr>
        <w:spacing w:after="0" w:line="240" w:lineRule="auto"/>
        <w:rPr>
          <w:rFonts w:ascii="STIX" w:hAnsi="STIX" w:cs="STIX"/>
          <w:i/>
          <w:sz w:val="20"/>
          <w:szCs w:val="20"/>
        </w:rPr>
      </w:pPr>
    </w:p>
    <w:p w:rsidR="00E96087" w:rsidRDefault="00E96087" w:rsidP="00E96087">
      <w:pPr>
        <w:spacing w:after="0" w:line="240" w:lineRule="auto"/>
        <w:rPr>
          <w:rFonts w:ascii="STIX" w:hAnsi="STIX" w:cs="STIX"/>
          <w:i/>
          <w:sz w:val="20"/>
          <w:szCs w:val="20"/>
        </w:rPr>
        <w:sectPr w:rsidR="00E96087"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28"/>
          <w:sz w:val="20"/>
          <w:szCs w:val="24"/>
          <w:lang w:val="en-GB"/>
        </w:rPr>
        <w:object w:dxaOrig="3480" w:dyaOrig="680">
          <v:shape id="_x0000_i6488" type="#_x0000_t75" style="width:174pt;height:33.75pt" o:ole="">
            <v:imagedata r:id="rId18" o:title=""/>
          </v:shape>
          <o:OLEObject Type="Embed" ProgID="Equation.DSMT4" ShapeID="_x0000_i6488" DrawAspect="Content" ObjectID="_1552491499" r:id="rId19"/>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32"/>
          <w:sz w:val="20"/>
          <w:szCs w:val="24"/>
          <w:lang w:val="en-GB"/>
        </w:rPr>
        <w:object w:dxaOrig="5100" w:dyaOrig="760">
          <v:shape id="_x0000_i6489" type="#_x0000_t75" style="width:255pt;height:38.25pt" o:ole="">
            <v:imagedata r:id="rId20" o:title=""/>
          </v:shape>
          <o:OLEObject Type="Embed" ProgID="Equation.DSMT4" ShapeID="_x0000_i6489" DrawAspect="Content" ObjectID="_1552491500" r:id="rId21"/>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28"/>
          <w:sz w:val="20"/>
          <w:szCs w:val="24"/>
          <w:lang w:val="en-GB"/>
        </w:rPr>
        <w:object w:dxaOrig="3320" w:dyaOrig="680">
          <v:shape id="_x0000_i6490" type="#_x0000_t75" style="width:165.75pt;height:33.75pt" o:ole="">
            <v:imagedata r:id="rId22" o:title=""/>
          </v:shape>
          <o:OLEObject Type="Embed" ProgID="Equation.DSMT4" ShapeID="_x0000_i6490" DrawAspect="Content" ObjectID="_1552491501" r:id="rId23"/>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32"/>
          <w:sz w:val="20"/>
          <w:szCs w:val="24"/>
          <w:lang w:val="en-GB"/>
        </w:rPr>
        <w:object w:dxaOrig="5240" w:dyaOrig="760">
          <v:shape id="_x0000_i6491" type="#_x0000_t75" style="width:261.75pt;height:38.25pt" o:ole="">
            <v:imagedata r:id="rId24" o:title=""/>
          </v:shape>
          <o:OLEObject Type="Embed" ProgID="Equation.DSMT4" ShapeID="_x0000_i6491" DrawAspect="Content" ObjectID="_1552491502" r:id="rId25"/>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lang w:val="en-GB"/>
        </w:rPr>
        <w:t xml:space="preserve">The </w:t>
      </w:r>
      <w:r w:rsidRPr="00E96087">
        <w:rPr>
          <w:rFonts w:ascii="STIX" w:eastAsia="Times New Roman" w:hAnsi="STIX"/>
          <w:i/>
          <w:sz w:val="20"/>
          <w:szCs w:val="24"/>
          <w:lang w:val="en-GB"/>
        </w:rPr>
        <w:t>k</w:t>
      </w:r>
      <w:r w:rsidRPr="00E96087">
        <w:rPr>
          <w:rFonts w:ascii="STIX" w:eastAsia="Times New Roman" w:hAnsi="STIX"/>
          <w:sz w:val="20"/>
          <w:szCs w:val="24"/>
          <w:lang w:val="en-GB"/>
        </w:rPr>
        <w:t>’s can then be used to compute the increment functions,</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56"/>
          <w:sz w:val="20"/>
          <w:szCs w:val="24"/>
          <w:lang w:val="en-GB"/>
        </w:rPr>
        <w:object w:dxaOrig="4300" w:dyaOrig="1240">
          <v:shape id="_x0000_i6492" type="#_x0000_t75" style="width:215.25pt;height:62.25pt" o:ole="">
            <v:imagedata r:id="rId26" o:title=""/>
          </v:shape>
          <o:OLEObject Type="Embed" ProgID="Equation.DSMT4" ShapeID="_x0000_i6492" DrawAspect="Content" ObjectID="_1552491503" r:id="rId27"/>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lang w:val="en-GB"/>
        </w:rPr>
        <w:t>These slope estimates can then be used to make the prediction for the first step</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position w:val="-28"/>
          <w:sz w:val="20"/>
          <w:szCs w:val="24"/>
          <w:lang w:val="en-GB"/>
        </w:rPr>
        <w:object w:dxaOrig="3320" w:dyaOrig="680">
          <v:shape id="_x0000_i6493" type="#_x0000_t75" style="width:165.75pt;height:33.75pt" o:ole="">
            <v:imagedata r:id="rId28" o:title=""/>
          </v:shape>
          <o:OLEObject Type="Embed" ProgID="Equation.DSMT4" ShapeID="_x0000_i6493" DrawAspect="Content" ObjectID="_1552491504" r:id="rId29"/>
        </w:objec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lang w:val="en-GB"/>
        </w:rPr>
        <w:t>The remaining steps can be taken in a similar fashion and the first few results summarized as</w:t>
      </w:r>
    </w:p>
    <w:p w:rsidR="00E96087" w:rsidRPr="00E96087" w:rsidRDefault="00E96087" w:rsidP="00E96087">
      <w:pPr>
        <w:spacing w:after="0" w:line="240" w:lineRule="auto"/>
        <w:rPr>
          <w:rFonts w:ascii="STIX" w:eastAsia="Times New Roman" w:hAnsi="STIX"/>
          <w:sz w:val="20"/>
          <w:szCs w:val="24"/>
          <w:lang w:val="en-GB"/>
        </w:rPr>
      </w:pPr>
    </w:p>
    <w:tbl>
      <w:tblPr>
        <w:tblW w:w="3917" w:type="dxa"/>
        <w:tblInd w:w="648" w:type="dxa"/>
        <w:tblLook w:val="0000"/>
      </w:tblPr>
      <w:tblGrid>
        <w:gridCol w:w="720"/>
        <w:gridCol w:w="1170"/>
        <w:gridCol w:w="1051"/>
        <w:gridCol w:w="976"/>
      </w:tblGrid>
      <w:tr w:rsidR="00E96087" w:rsidRPr="00E96087" w:rsidTr="00FF7247">
        <w:trPr>
          <w:trHeight w:val="144"/>
        </w:trPr>
        <w:tc>
          <w:tcPr>
            <w:tcW w:w="720" w:type="dxa"/>
            <w:tcBorders>
              <w:top w:val="single" w:sz="12" w:space="0" w:color="auto"/>
              <w:left w:val="nil"/>
              <w:bottom w:val="single" w:sz="6" w:space="0" w:color="auto"/>
              <w:right w:val="nil"/>
            </w:tcBorders>
            <w:noWrap/>
            <w:vAlign w:val="center"/>
          </w:tcPr>
          <w:p w:rsidR="00E96087" w:rsidRPr="00E96087" w:rsidRDefault="00E96087" w:rsidP="00E96087">
            <w:pPr>
              <w:spacing w:after="0" w:line="240" w:lineRule="auto"/>
              <w:jc w:val="center"/>
              <w:rPr>
                <w:rFonts w:ascii="STIX MathJax Main" w:eastAsia="Times New Roman" w:hAnsi="STIX MathJax Main" w:cs="STIX MathJax Main"/>
                <w:b/>
                <w:i/>
                <w:sz w:val="18"/>
                <w:szCs w:val="20"/>
                <w:lang w:val="en-GB"/>
              </w:rPr>
            </w:pPr>
            <w:r w:rsidRPr="00E96087">
              <w:rPr>
                <w:rFonts w:ascii="STIX" w:eastAsia="Times New Roman" w:hAnsi="STIX" w:cs="STIX MathJax Main"/>
                <w:b/>
                <w:i/>
                <w:sz w:val="18"/>
                <w:szCs w:val="20"/>
                <w:lang w:val="en-GB"/>
              </w:rPr>
              <w:t>t</w:t>
            </w:r>
          </w:p>
        </w:tc>
        <w:tc>
          <w:tcPr>
            <w:tcW w:w="1170" w:type="dxa"/>
            <w:tcBorders>
              <w:top w:val="single" w:sz="12" w:space="0" w:color="auto"/>
              <w:left w:val="nil"/>
              <w:bottom w:val="single" w:sz="6" w:space="0" w:color="auto"/>
              <w:right w:val="nil"/>
            </w:tcBorders>
            <w:noWrap/>
            <w:vAlign w:val="center"/>
          </w:tcPr>
          <w:p w:rsidR="00E96087" w:rsidRPr="00E96087" w:rsidRDefault="00E96087" w:rsidP="00E96087">
            <w:pPr>
              <w:spacing w:after="0" w:line="240" w:lineRule="auto"/>
              <w:jc w:val="center"/>
              <w:rPr>
                <w:rFonts w:ascii="STIX MathJax Main" w:eastAsia="Times New Roman" w:hAnsi="STIX MathJax Main" w:cs="STIX MathJax Main"/>
                <w:b/>
                <w:i/>
                <w:sz w:val="18"/>
                <w:szCs w:val="20"/>
                <w:lang w:val="en-GB"/>
              </w:rPr>
            </w:pPr>
            <w:r w:rsidRPr="00E96087">
              <w:rPr>
                <w:rFonts w:ascii="STIX" w:eastAsia="Times New Roman" w:hAnsi="STIX" w:cs="STIX MathJax Main"/>
                <w:b/>
                <w:i/>
                <w:sz w:val="18"/>
                <w:szCs w:val="20"/>
                <w:lang w:val="en-GB"/>
              </w:rPr>
              <w:t>y</w:t>
            </w:r>
          </w:p>
        </w:tc>
        <w:tc>
          <w:tcPr>
            <w:tcW w:w="1051" w:type="dxa"/>
            <w:tcBorders>
              <w:top w:val="single" w:sz="12" w:space="0" w:color="auto"/>
              <w:left w:val="nil"/>
              <w:bottom w:val="single" w:sz="6" w:space="0" w:color="auto"/>
              <w:right w:val="nil"/>
            </w:tcBorders>
            <w:noWrap/>
            <w:vAlign w:val="center"/>
          </w:tcPr>
          <w:p w:rsidR="00E96087" w:rsidRPr="00E96087" w:rsidRDefault="00E96087" w:rsidP="00E96087">
            <w:pPr>
              <w:spacing w:after="0" w:line="240" w:lineRule="auto"/>
              <w:jc w:val="center"/>
              <w:rPr>
                <w:rFonts w:ascii="STIX MathJax Main" w:eastAsia="Times New Roman" w:hAnsi="STIX MathJax Main" w:cs="STIX MathJax Main"/>
                <w:b/>
                <w:i/>
                <w:sz w:val="18"/>
                <w:szCs w:val="20"/>
                <w:lang w:val="en-GB"/>
              </w:rPr>
            </w:pPr>
            <w:r w:rsidRPr="00E96087">
              <w:rPr>
                <w:rFonts w:ascii="STIX" w:eastAsia="Times New Roman" w:hAnsi="STIX" w:cs="STIX MathJax Main"/>
                <w:b/>
                <w:i/>
                <w:sz w:val="18"/>
                <w:szCs w:val="20"/>
                <w:lang w:val="en-GB"/>
              </w:rPr>
              <w:t>z</w:t>
            </w:r>
          </w:p>
        </w:tc>
        <w:tc>
          <w:tcPr>
            <w:tcW w:w="976" w:type="dxa"/>
            <w:tcBorders>
              <w:top w:val="single" w:sz="12" w:space="0" w:color="auto"/>
              <w:bottom w:val="single" w:sz="6" w:space="0" w:color="auto"/>
            </w:tcBorders>
            <w:vAlign w:val="center"/>
          </w:tcPr>
          <w:p w:rsidR="00E96087" w:rsidRPr="00E96087" w:rsidRDefault="00E96087" w:rsidP="00E96087">
            <w:pPr>
              <w:spacing w:after="0" w:line="240" w:lineRule="auto"/>
              <w:rPr>
                <w:rFonts w:ascii="STIX MathJax Main" w:eastAsia="Times New Roman" w:hAnsi="STIX MathJax Main" w:cs="STIX MathJax Main"/>
                <w:b/>
                <w:sz w:val="18"/>
                <w:szCs w:val="20"/>
                <w:lang w:val="en-GB"/>
              </w:rPr>
            </w:pPr>
            <w:r w:rsidRPr="00E96087">
              <w:rPr>
                <w:rFonts w:ascii="STIX" w:eastAsia="Times New Roman" w:hAnsi="STIX" w:cs="STIX MathJax Main"/>
                <w:b/>
                <w:i/>
                <w:sz w:val="18"/>
                <w:szCs w:val="20"/>
                <w:lang w:val="en-GB"/>
              </w:rPr>
              <w:t>y</w:t>
            </w:r>
            <w:r w:rsidRPr="00E96087">
              <w:rPr>
                <w:rFonts w:ascii="STIX" w:eastAsia="Times New Roman" w:hAnsi="STIX" w:cs="STIX MathJax Main"/>
                <w:b/>
                <w:sz w:val="18"/>
                <w:szCs w:val="20"/>
                <w:lang w:val="en-GB"/>
              </w:rPr>
              <w:t>-anal</w:t>
            </w:r>
          </w:p>
        </w:tc>
      </w:tr>
      <w:tr w:rsidR="00E96087" w:rsidRPr="00E96087" w:rsidTr="00FF7247">
        <w:trPr>
          <w:trHeight w:val="144"/>
        </w:trPr>
        <w:tc>
          <w:tcPr>
            <w:tcW w:w="720" w:type="dxa"/>
            <w:tcBorders>
              <w:top w:val="single" w:sz="6" w:space="0" w:color="auto"/>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w:t>
            </w:r>
          </w:p>
        </w:tc>
        <w:tc>
          <w:tcPr>
            <w:tcW w:w="1170" w:type="dxa"/>
            <w:tcBorders>
              <w:top w:val="single" w:sz="6" w:space="0" w:color="auto"/>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1.0000</w:t>
            </w:r>
          </w:p>
        </w:tc>
        <w:tc>
          <w:tcPr>
            <w:tcW w:w="1051" w:type="dxa"/>
            <w:tcBorders>
              <w:top w:val="single" w:sz="6" w:space="0" w:color="auto"/>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0.0000</w:t>
            </w:r>
          </w:p>
        </w:tc>
        <w:tc>
          <w:tcPr>
            <w:tcW w:w="0" w:type="auto"/>
            <w:tcBorders>
              <w:top w:val="single" w:sz="6" w:space="0" w:color="auto"/>
            </w:tcBorders>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1.00000</w:t>
            </w:r>
          </w:p>
        </w:tc>
      </w:tr>
      <w:tr w:rsidR="00E96087" w:rsidRPr="00E96087" w:rsidTr="00FF7247">
        <w:trPr>
          <w:trHeight w:val="144"/>
        </w:trPr>
        <w:tc>
          <w:tcPr>
            <w:tcW w:w="72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0.1</w:t>
            </w:r>
          </w:p>
        </w:tc>
        <w:tc>
          <w:tcPr>
            <w:tcW w:w="117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0.9553</w:t>
            </w:r>
          </w:p>
        </w:tc>
        <w:tc>
          <w:tcPr>
            <w:tcW w:w="1051"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0.8865</w:t>
            </w:r>
          </w:p>
        </w:tc>
        <w:tc>
          <w:tcPr>
            <w:tcW w:w="0" w:type="auto"/>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0.95534</w:t>
            </w:r>
          </w:p>
        </w:tc>
      </w:tr>
      <w:tr w:rsidR="00E96087" w:rsidRPr="00E96087" w:rsidTr="00FF7247">
        <w:trPr>
          <w:trHeight w:val="144"/>
        </w:trPr>
        <w:tc>
          <w:tcPr>
            <w:tcW w:w="72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0.2</w:t>
            </w:r>
          </w:p>
        </w:tc>
        <w:tc>
          <w:tcPr>
            <w:tcW w:w="117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0.8253</w:t>
            </w:r>
          </w:p>
        </w:tc>
        <w:tc>
          <w:tcPr>
            <w:tcW w:w="1051"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1.6938</w:t>
            </w:r>
          </w:p>
        </w:tc>
        <w:tc>
          <w:tcPr>
            <w:tcW w:w="0" w:type="auto"/>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0.82534</w:t>
            </w:r>
          </w:p>
        </w:tc>
      </w:tr>
      <w:tr w:rsidR="00E96087" w:rsidRPr="00E96087" w:rsidTr="00FF7247">
        <w:trPr>
          <w:trHeight w:val="144"/>
        </w:trPr>
        <w:tc>
          <w:tcPr>
            <w:tcW w:w="72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0.3</w:t>
            </w:r>
          </w:p>
        </w:tc>
        <w:tc>
          <w:tcPr>
            <w:tcW w:w="117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0.6216</w:t>
            </w:r>
          </w:p>
        </w:tc>
        <w:tc>
          <w:tcPr>
            <w:tcW w:w="1051"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2.3498</w:t>
            </w:r>
          </w:p>
        </w:tc>
        <w:tc>
          <w:tcPr>
            <w:tcW w:w="0" w:type="auto"/>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0.62161</w:t>
            </w:r>
          </w:p>
        </w:tc>
      </w:tr>
      <w:tr w:rsidR="00E96087" w:rsidRPr="00E96087" w:rsidTr="00FF7247">
        <w:trPr>
          <w:trHeight w:val="144"/>
        </w:trPr>
        <w:tc>
          <w:tcPr>
            <w:tcW w:w="72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0.4</w:t>
            </w:r>
          </w:p>
        </w:tc>
        <w:tc>
          <w:tcPr>
            <w:tcW w:w="1170"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0.3624</w:t>
            </w:r>
          </w:p>
        </w:tc>
        <w:tc>
          <w:tcPr>
            <w:tcW w:w="1051" w:type="dxa"/>
            <w:tcBorders>
              <w:top w:val="nil"/>
              <w:left w:val="nil"/>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2.7960</w:t>
            </w:r>
          </w:p>
        </w:tc>
        <w:tc>
          <w:tcPr>
            <w:tcW w:w="0" w:type="auto"/>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0.36236</w:t>
            </w:r>
          </w:p>
        </w:tc>
      </w:tr>
      <w:tr w:rsidR="00E96087" w:rsidRPr="00E96087" w:rsidTr="00FF7247">
        <w:trPr>
          <w:trHeight w:val="144"/>
        </w:trPr>
        <w:tc>
          <w:tcPr>
            <w:tcW w:w="720" w:type="dxa"/>
            <w:tcBorders>
              <w:top w:val="nil"/>
              <w:left w:val="nil"/>
              <w:bottom w:val="single" w:sz="12" w:space="0" w:color="auto"/>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0.5</w:t>
            </w:r>
          </w:p>
        </w:tc>
        <w:tc>
          <w:tcPr>
            <w:tcW w:w="1170" w:type="dxa"/>
            <w:tcBorders>
              <w:top w:val="nil"/>
              <w:left w:val="nil"/>
              <w:bottom w:val="single" w:sz="12" w:space="0" w:color="auto"/>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0.0708</w:t>
            </w:r>
          </w:p>
        </w:tc>
        <w:tc>
          <w:tcPr>
            <w:tcW w:w="1051" w:type="dxa"/>
            <w:tcBorders>
              <w:top w:val="nil"/>
              <w:left w:val="nil"/>
              <w:bottom w:val="single" w:sz="12" w:space="0" w:color="auto"/>
              <w:right w:val="nil"/>
            </w:tcBorders>
            <w:noWrap/>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Courier New" w:eastAsia="Times New Roman" w:hAnsi="Courier New" w:cs="STIX MathJax Main"/>
                <w:sz w:val="18"/>
                <w:szCs w:val="20"/>
                <w:lang w:val="en-GB"/>
              </w:rPr>
              <w:t>–</w:t>
            </w:r>
            <w:r w:rsidRPr="00E96087">
              <w:rPr>
                <w:rFonts w:ascii="STIX" w:eastAsia="Times New Roman" w:hAnsi="STIX" w:cs="STIX MathJax Main"/>
                <w:sz w:val="18"/>
                <w:szCs w:val="20"/>
                <w:lang w:val="en-GB"/>
              </w:rPr>
              <w:t>2.9924</w:t>
            </w:r>
          </w:p>
        </w:tc>
        <w:tc>
          <w:tcPr>
            <w:tcW w:w="0" w:type="auto"/>
            <w:tcBorders>
              <w:bottom w:val="single" w:sz="12" w:space="0" w:color="auto"/>
            </w:tcBorders>
            <w:vAlign w:val="center"/>
          </w:tcPr>
          <w:p w:rsidR="00E96087" w:rsidRPr="00E96087" w:rsidRDefault="00E96087" w:rsidP="00E96087">
            <w:pPr>
              <w:spacing w:after="0" w:line="240" w:lineRule="auto"/>
              <w:jc w:val="right"/>
              <w:rPr>
                <w:rFonts w:ascii="STIX MathJax Main" w:eastAsia="Times New Roman" w:hAnsi="STIX MathJax Main" w:cs="STIX MathJax Main"/>
                <w:sz w:val="18"/>
                <w:szCs w:val="20"/>
                <w:lang w:val="en-GB"/>
              </w:rPr>
            </w:pPr>
            <w:r w:rsidRPr="00E96087">
              <w:rPr>
                <w:rFonts w:ascii="STIX" w:eastAsia="Times New Roman" w:hAnsi="STIX" w:cs="STIX MathJax Main"/>
                <w:sz w:val="18"/>
                <w:szCs w:val="20"/>
                <w:lang w:val="en-GB"/>
              </w:rPr>
              <w:t>0.07074</w:t>
            </w:r>
          </w:p>
        </w:tc>
      </w:tr>
    </w:tbl>
    <w:p w:rsidR="00E96087" w:rsidRPr="00E96087" w:rsidRDefault="00E96087" w:rsidP="00E96087">
      <w:pPr>
        <w:spacing w:after="0" w:line="240" w:lineRule="auto"/>
        <w:rPr>
          <w:rFonts w:ascii="STIX" w:eastAsia="Times New Roman" w:hAnsi="STIX"/>
          <w:sz w:val="20"/>
          <w:szCs w:val="24"/>
          <w:lang w:val="en-GB"/>
        </w:rPr>
      </w:pPr>
    </w:p>
    <w:p w:rsidR="00E96087" w:rsidRDefault="00E96087" w:rsidP="00E96087">
      <w:pPr>
        <w:spacing w:after="0" w:line="240" w:lineRule="auto"/>
        <w:rPr>
          <w:rFonts w:ascii="STIX" w:hAnsi="STIX" w:cs="STIX"/>
          <w:i/>
          <w:sz w:val="20"/>
          <w:szCs w:val="20"/>
        </w:rPr>
      </w:pPr>
    </w:p>
    <w:p w:rsidR="00E96087" w:rsidRDefault="00E96087" w:rsidP="00E96087">
      <w:pPr>
        <w:spacing w:after="0" w:line="240" w:lineRule="auto"/>
        <w:rPr>
          <w:rFonts w:ascii="STIX" w:hAnsi="STIX" w:cs="STIX"/>
          <w:i/>
          <w:sz w:val="20"/>
          <w:szCs w:val="20"/>
        </w:rPr>
      </w:pPr>
    </w:p>
    <w:p w:rsidR="00E96087" w:rsidRDefault="00E96087" w:rsidP="00E96087">
      <w:pPr>
        <w:spacing w:after="0" w:line="240" w:lineRule="auto"/>
        <w:rPr>
          <w:rFonts w:ascii="STIX" w:hAnsi="STIX" w:cs="STIX"/>
          <w:i/>
          <w:sz w:val="20"/>
          <w:szCs w:val="20"/>
        </w:rPr>
      </w:pPr>
    </w:p>
    <w:p w:rsidR="00E96087" w:rsidRDefault="00E96087" w:rsidP="00E96087">
      <w:pPr>
        <w:spacing w:after="0" w:line="240" w:lineRule="auto"/>
        <w:rPr>
          <w:rFonts w:ascii="STIX" w:hAnsi="STIX" w:cs="STIX"/>
          <w:i/>
          <w:sz w:val="20"/>
          <w:szCs w:val="20"/>
        </w:rPr>
        <w:sectPr w:rsidR="00E96087"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lang w:val="en-GB"/>
        </w:rPr>
        <w:t>As can be seen, the results agree with the analytical solution closely. A plot of all the values can be developed and indicates the same close agreement.</w:t>
      </w:r>
    </w:p>
    <w:p w:rsidR="00E96087" w:rsidRPr="00E96087" w:rsidRDefault="00E96087" w:rsidP="00E96087">
      <w:pPr>
        <w:spacing w:after="0" w:line="240" w:lineRule="auto"/>
        <w:rPr>
          <w:rFonts w:ascii="STIX" w:eastAsia="Times New Roman" w:hAnsi="STIX"/>
          <w:sz w:val="20"/>
          <w:szCs w:val="24"/>
          <w:lang w:val="en-GB"/>
        </w:rPr>
      </w:pPr>
    </w:p>
    <w:p w:rsidR="00E96087" w:rsidRPr="00E96087" w:rsidRDefault="00E96087" w:rsidP="00E96087">
      <w:pPr>
        <w:spacing w:after="0" w:line="240" w:lineRule="auto"/>
        <w:rPr>
          <w:rFonts w:ascii="STIX" w:eastAsia="Times New Roman" w:hAnsi="STIX"/>
          <w:sz w:val="20"/>
          <w:szCs w:val="24"/>
          <w:lang w:val="en-GB"/>
        </w:rPr>
      </w:pPr>
      <w:r w:rsidRPr="00E96087">
        <w:rPr>
          <w:rFonts w:ascii="STIX" w:eastAsia="Times New Roman" w:hAnsi="STIX"/>
          <w:sz w:val="20"/>
          <w:szCs w:val="24"/>
        </w:rPr>
        <w:drawing>
          <wp:inline distT="0" distB="0" distL="0" distR="0">
            <wp:extent cx="2981325" cy="1381125"/>
            <wp:effectExtent l="0" t="0" r="0" b="0"/>
            <wp:docPr id="3684"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0" cstate="print"/>
                    <a:srcRect/>
                    <a:stretch>
                      <a:fillRect/>
                    </a:stretch>
                  </pic:blipFill>
                  <pic:spPr bwMode="auto">
                    <a:xfrm>
                      <a:off x="0" y="0"/>
                      <a:ext cx="2981325" cy="1381125"/>
                    </a:xfrm>
                    <a:prstGeom prst="rect">
                      <a:avLst/>
                    </a:prstGeom>
                    <a:noFill/>
                    <a:ln w="9525">
                      <a:noFill/>
                      <a:miter lim="800000"/>
                      <a:headEnd/>
                      <a:tailEnd/>
                    </a:ln>
                  </pic:spPr>
                </pic:pic>
              </a:graphicData>
            </a:graphic>
          </wp:inline>
        </w:drawing>
      </w:r>
    </w:p>
    <w:p w:rsidR="008C6CDE" w:rsidRPr="008C6CDE" w:rsidRDefault="008C6CDE" w:rsidP="00E96087">
      <w:pPr>
        <w:spacing w:after="0" w:line="240" w:lineRule="auto"/>
        <w:rPr>
          <w:rFonts w:ascii="STIX" w:eastAsia="Times New Roman" w:hAnsi="STIX"/>
          <w:sz w:val="20"/>
          <w:szCs w:val="24"/>
          <w:lang w:val="en-GB"/>
        </w:rPr>
      </w:pPr>
    </w:p>
    <w:sectPr w:rsidR="008C6CDE" w:rsidRPr="008C6CDE"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EA4"/>
    <w:rsid w:val="00C05F33"/>
    <w:rsid w:val="00C06AD3"/>
    <w:rsid w:val="00C07950"/>
    <w:rsid w:val="00C11A2C"/>
    <w:rsid w:val="00C12661"/>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AF574-E4BC-48DF-9B7F-73046ABD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2017-03-31T20:19:00Z</dcterms:created>
  <dcterms:modified xsi:type="dcterms:W3CDTF">2017-03-31T20:19:00Z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