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CE18CF" w:rsidRDefault="00512B6C" w:rsidP="00CE18CF">
      <w:pPr>
        <w:pStyle w:val="Default"/>
        <w:ind w:right="-450"/>
        <w:rPr>
          <w:b/>
        </w:rPr>
      </w:pPr>
      <w:r w:rsidRPr="00CE18CF">
        <w:rPr>
          <w:b/>
        </w:rPr>
        <w:t xml:space="preserve">Problem </w:t>
      </w:r>
      <w:r w:rsidR="00677803" w:rsidRPr="00CE18CF">
        <w:rPr>
          <w:b/>
        </w:rPr>
        <w:t>2</w:t>
      </w:r>
      <w:r w:rsidR="008E4ADA" w:rsidRPr="00CE18CF">
        <w:rPr>
          <w:b/>
        </w:rPr>
        <w:t>3.1</w:t>
      </w:r>
    </w:p>
    <w:p w:rsidR="00515891" w:rsidRPr="00CE18CF" w:rsidRDefault="00515891" w:rsidP="00CE18CF">
      <w:pPr>
        <w:pStyle w:val="Default"/>
        <w:rPr>
          <w:color w:val="221E1F"/>
          <w:szCs w:val="18"/>
        </w:rPr>
      </w:pPr>
    </w:p>
    <w:p w:rsidR="00CE18CF" w:rsidRDefault="00CE18CF" w:rsidP="00CE18CF">
      <w:pPr>
        <w:pStyle w:val="Default"/>
        <w:rPr>
          <w:color w:val="221E1F"/>
          <w:szCs w:val="18"/>
        </w:rPr>
      </w:pPr>
      <w:r w:rsidRPr="00CE18CF">
        <w:rPr>
          <w:color w:val="221E1F"/>
          <w:szCs w:val="18"/>
        </w:rPr>
        <w:t xml:space="preserve">Repeat the same simulations as in Sec. 23.5 for Pliny’s fountain, but generate the solutions with </w:t>
      </w:r>
      <w:r w:rsidRPr="00ED73B9">
        <w:rPr>
          <w:rFonts w:ascii="Courier New" w:hAnsi="Courier New"/>
          <w:color w:val="221E1F"/>
          <w:szCs w:val="16"/>
        </w:rPr>
        <w:t>ode23</w:t>
      </w:r>
      <w:r w:rsidRPr="00ED73B9">
        <w:rPr>
          <w:rFonts w:ascii="Courier New" w:hAnsi="Courier New"/>
          <w:color w:val="221E1F"/>
          <w:szCs w:val="18"/>
        </w:rPr>
        <w:t xml:space="preserve">, </w:t>
      </w:r>
      <w:r w:rsidRPr="00ED73B9">
        <w:rPr>
          <w:rFonts w:ascii="Courier New" w:hAnsi="Courier New"/>
          <w:color w:val="221E1F"/>
          <w:szCs w:val="16"/>
        </w:rPr>
        <w:t>ode23s</w:t>
      </w:r>
      <w:r w:rsidRPr="00CE18CF">
        <w:rPr>
          <w:color w:val="221E1F"/>
          <w:szCs w:val="18"/>
        </w:rPr>
        <w:t xml:space="preserve">, and </w:t>
      </w:r>
      <w:r w:rsidRPr="00ED73B9">
        <w:rPr>
          <w:rFonts w:ascii="Courier New" w:hAnsi="Courier New"/>
          <w:color w:val="221E1F"/>
          <w:szCs w:val="16"/>
        </w:rPr>
        <w:t>ode113</w:t>
      </w:r>
      <w:r w:rsidRPr="00CE18CF">
        <w:rPr>
          <w:color w:val="221E1F"/>
          <w:szCs w:val="18"/>
        </w:rPr>
        <w:t xml:space="preserve">. Use </w:t>
      </w:r>
      <w:r w:rsidRPr="00CE18CF">
        <w:rPr>
          <w:color w:val="221E1F"/>
          <w:szCs w:val="16"/>
        </w:rPr>
        <w:t xml:space="preserve">subplot </w:t>
      </w:r>
      <w:r w:rsidRPr="00CE18CF">
        <w:rPr>
          <w:color w:val="221E1F"/>
          <w:szCs w:val="18"/>
        </w:rPr>
        <w:t>to develop a vertical three-pane plot of the time series.</w:t>
      </w:r>
    </w:p>
    <w:p w:rsidR="00CE18CF" w:rsidRDefault="00CE18CF" w:rsidP="00CE18CF">
      <w:pPr>
        <w:pStyle w:val="Default"/>
        <w:rPr>
          <w:color w:val="221E1F"/>
          <w:szCs w:val="18"/>
        </w:rPr>
      </w:pPr>
    </w:p>
    <w:p w:rsidR="00CE18CF" w:rsidRPr="00CE18CF" w:rsidRDefault="00CE18CF" w:rsidP="00CE18CF">
      <w:pPr>
        <w:pStyle w:val="Default"/>
        <w:rPr>
          <w:i/>
          <w:color w:val="221E1F"/>
          <w:szCs w:val="18"/>
        </w:rPr>
      </w:pPr>
      <w:r w:rsidRPr="00CE18CF">
        <w:rPr>
          <w:i/>
          <w:color w:val="221E1F"/>
          <w:szCs w:val="18"/>
        </w:rPr>
        <w:t>23.5 Case Study Problem Statement:</w:t>
      </w:r>
    </w:p>
    <w:p w:rsidR="00CE18CF" w:rsidRPr="00CE18CF" w:rsidRDefault="00CE18CF" w:rsidP="00CE18CF">
      <w:pPr>
        <w:autoSpaceDE w:val="0"/>
        <w:autoSpaceDN w:val="0"/>
        <w:adjustRightInd w:val="0"/>
        <w:spacing w:after="0" w:line="240" w:lineRule="auto"/>
        <w:rPr>
          <w:rFonts w:ascii="STIX" w:hAnsi="STIX" w:cs="STIX"/>
          <w:color w:val="000000"/>
          <w:sz w:val="24"/>
          <w:szCs w:val="24"/>
        </w:rPr>
      </w:pPr>
      <w:r>
        <w:rPr>
          <w:rFonts w:ascii="STIX" w:hAnsi="STIX" w:cs="STIX"/>
          <w:color w:val="000000"/>
          <w:sz w:val="24"/>
          <w:szCs w:val="24"/>
        </w:rPr>
        <w:t xml:space="preserve">Background: </w:t>
      </w:r>
      <w:r w:rsidRPr="00CE18CF">
        <w:rPr>
          <w:rFonts w:ascii="STIX" w:hAnsi="STIX" w:cs="STIX"/>
          <w:color w:val="221E1F"/>
          <w:sz w:val="24"/>
          <w:szCs w:val="24"/>
        </w:rPr>
        <w:t>The Roman natural philosopher, Pliny the Elder, purportedly had an inter</w:t>
      </w:r>
      <w:r w:rsidRPr="00CE18CF">
        <w:rPr>
          <w:rFonts w:ascii="STIX" w:hAnsi="STIX" w:cs="STIX"/>
          <w:color w:val="221E1F"/>
          <w:sz w:val="24"/>
          <w:szCs w:val="24"/>
        </w:rPr>
        <w:softHyphen/>
        <w:t xml:space="preserve">mittent fountain in his garden. As in Fig. 23.12, water enters a cylindrical tank at a constant flow rate </w:t>
      </w:r>
      <w:r w:rsidRPr="00CE18CF">
        <w:rPr>
          <w:rFonts w:ascii="STIX" w:hAnsi="STIX" w:cs="STIX"/>
          <w:i/>
          <w:iCs/>
          <w:color w:val="221E1F"/>
          <w:sz w:val="24"/>
          <w:szCs w:val="24"/>
        </w:rPr>
        <w:t>Q</w:t>
      </w:r>
      <w:r w:rsidRPr="00CE18CF">
        <w:rPr>
          <w:rFonts w:ascii="STIX" w:hAnsi="STIX" w:cs="STIX"/>
          <w:color w:val="221E1F"/>
          <w:sz w:val="32"/>
          <w:szCs w:val="24"/>
          <w:vertAlign w:val="subscript"/>
        </w:rPr>
        <w:t>in</w:t>
      </w:r>
      <w:r w:rsidRPr="00CE18CF">
        <w:rPr>
          <w:rFonts w:ascii="STIX" w:hAnsi="STIX" w:cs="STIX"/>
          <w:color w:val="221E1F"/>
          <w:sz w:val="24"/>
          <w:szCs w:val="24"/>
        </w:rPr>
        <w:t xml:space="preserve"> and fills until the water reaches </w:t>
      </w:r>
      <w:r w:rsidRPr="00CE18CF">
        <w:rPr>
          <w:rFonts w:ascii="STIX" w:hAnsi="STIX" w:cs="STIX"/>
          <w:i/>
          <w:iCs/>
          <w:color w:val="221E1F"/>
          <w:sz w:val="24"/>
          <w:szCs w:val="24"/>
        </w:rPr>
        <w:t>y</w:t>
      </w:r>
      <w:r w:rsidRPr="00CE18CF">
        <w:rPr>
          <w:rFonts w:ascii="STIX" w:hAnsi="STIX" w:cs="STIX"/>
          <w:color w:val="221E1F"/>
          <w:sz w:val="32"/>
          <w:szCs w:val="24"/>
          <w:vertAlign w:val="subscript"/>
        </w:rPr>
        <w:t>high</w:t>
      </w:r>
      <w:r w:rsidRPr="00CE18CF">
        <w:rPr>
          <w:rFonts w:ascii="STIX" w:hAnsi="STIX" w:cs="STIX"/>
          <w:color w:val="221E1F"/>
          <w:sz w:val="24"/>
          <w:szCs w:val="24"/>
        </w:rPr>
        <w:t xml:space="preserve">. At this point, water siphons out of the tank through a circular discharge pipe, producing a fountain at the pipe’s exit. The fountain runs until the water level decreases to </w:t>
      </w:r>
      <w:r w:rsidRPr="00CE18CF">
        <w:rPr>
          <w:rFonts w:ascii="STIX" w:hAnsi="STIX" w:cs="STIX"/>
          <w:i/>
          <w:iCs/>
          <w:color w:val="221E1F"/>
          <w:sz w:val="24"/>
          <w:szCs w:val="24"/>
        </w:rPr>
        <w:t>y</w:t>
      </w:r>
      <w:r w:rsidRPr="00CE18CF">
        <w:rPr>
          <w:rFonts w:ascii="STIX" w:hAnsi="STIX" w:cs="STIX"/>
          <w:color w:val="221E1F"/>
          <w:sz w:val="32"/>
          <w:szCs w:val="24"/>
          <w:vertAlign w:val="subscript"/>
        </w:rPr>
        <w:t>low</w:t>
      </w:r>
      <w:r w:rsidRPr="00CE18CF">
        <w:rPr>
          <w:rFonts w:ascii="STIX" w:hAnsi="STIX" w:cs="STIX"/>
          <w:color w:val="221E1F"/>
          <w:sz w:val="24"/>
          <w:szCs w:val="24"/>
        </w:rPr>
        <w:t xml:space="preserve">, whereupon the siphon fills with air and the fountain stops. The cycle then repeats as the tank fills until the water reaches </w:t>
      </w:r>
      <w:r w:rsidRPr="00CE18CF">
        <w:rPr>
          <w:rFonts w:ascii="STIX" w:hAnsi="STIX" w:cs="STIX"/>
          <w:i/>
          <w:iCs/>
          <w:color w:val="221E1F"/>
          <w:sz w:val="24"/>
          <w:szCs w:val="24"/>
        </w:rPr>
        <w:t>y</w:t>
      </w:r>
      <w:r w:rsidRPr="00CE18CF">
        <w:rPr>
          <w:rFonts w:ascii="STIX" w:hAnsi="STIX" w:cs="STIX"/>
          <w:color w:val="221E1F"/>
          <w:sz w:val="24"/>
          <w:szCs w:val="24"/>
        </w:rPr>
        <w:t>high, and the fountain flows again.</w:t>
      </w:r>
      <w:r>
        <w:rPr>
          <w:rFonts w:ascii="STIX" w:hAnsi="STIX" w:cs="STIX"/>
          <w:color w:val="000000"/>
          <w:sz w:val="24"/>
          <w:szCs w:val="24"/>
        </w:rPr>
        <w:t xml:space="preserve"> </w:t>
      </w:r>
      <w:r w:rsidRPr="00CE18CF">
        <w:rPr>
          <w:rFonts w:ascii="STIX" w:hAnsi="STIX" w:cs="STIX"/>
          <w:color w:val="221E1F"/>
          <w:sz w:val="24"/>
          <w:szCs w:val="24"/>
        </w:rPr>
        <w:t xml:space="preserve">When the siphon is running, the outflow </w:t>
      </w:r>
      <w:r w:rsidRPr="00CE18CF">
        <w:rPr>
          <w:rFonts w:ascii="STIX" w:hAnsi="STIX" w:cs="STIX"/>
          <w:i/>
          <w:iCs/>
          <w:color w:val="221E1F"/>
          <w:sz w:val="24"/>
          <w:szCs w:val="24"/>
        </w:rPr>
        <w:t>Q</w:t>
      </w:r>
      <w:r w:rsidRPr="00CE18CF">
        <w:rPr>
          <w:rFonts w:ascii="STIX" w:hAnsi="STIX" w:cs="STIX"/>
          <w:color w:val="221E1F"/>
          <w:sz w:val="32"/>
          <w:szCs w:val="24"/>
          <w:vertAlign w:val="subscript"/>
        </w:rPr>
        <w:t>out</w:t>
      </w:r>
      <w:r w:rsidRPr="00CE18CF">
        <w:rPr>
          <w:rFonts w:ascii="STIX" w:hAnsi="STIX" w:cs="STIX"/>
          <w:color w:val="221E1F"/>
          <w:sz w:val="24"/>
          <w:szCs w:val="24"/>
        </w:rPr>
        <w:t xml:space="preserve"> can be computed with the following formula based on </w:t>
      </w:r>
      <w:r w:rsidRPr="00CE18CF">
        <w:rPr>
          <w:rFonts w:ascii="STIX" w:hAnsi="STIX" w:cs="STIX"/>
          <w:i/>
          <w:iCs/>
          <w:color w:val="221E1F"/>
          <w:sz w:val="24"/>
          <w:szCs w:val="24"/>
        </w:rPr>
        <w:t>Torricelli’s law:</w:t>
      </w:r>
    </w:p>
    <w:p w:rsidR="00CE18CF" w:rsidRDefault="00CE18CF" w:rsidP="00CE18CF">
      <w:pPr>
        <w:autoSpaceDE w:val="0"/>
        <w:autoSpaceDN w:val="0"/>
        <w:adjustRightInd w:val="0"/>
        <w:spacing w:after="0" w:line="200" w:lineRule="atLeast"/>
        <w:ind w:firstLine="360"/>
        <w:jc w:val="center"/>
        <w:rPr>
          <w:rFonts w:ascii="STIX" w:hAnsi="STIX" w:cs="STIX"/>
          <w:color w:val="221E1F"/>
          <w:sz w:val="24"/>
          <w:szCs w:val="24"/>
        </w:rPr>
      </w:pPr>
      <w:r w:rsidRPr="00CE18CF">
        <w:rPr>
          <w:rFonts w:ascii="STIX" w:hAnsi="STIX" w:cs="STIX"/>
          <w:color w:val="221E1F"/>
          <w:position w:val="-12"/>
          <w:sz w:val="24"/>
          <w:szCs w:val="24"/>
        </w:rPr>
        <w:object w:dxaOrig="20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1pt" o:ole="">
            <v:imagedata r:id="rId7" o:title=""/>
          </v:shape>
          <o:OLEObject Type="Embed" ProgID="Equation.DSMT4" ShapeID="_x0000_i1025" DrawAspect="Content" ObjectID="_1552653657" r:id="rId8"/>
        </w:object>
      </w:r>
      <w:r>
        <w:rPr>
          <w:rFonts w:ascii="STIX" w:hAnsi="STIX" w:cs="STIX"/>
          <w:color w:val="221E1F"/>
          <w:sz w:val="24"/>
          <w:szCs w:val="24"/>
        </w:rPr>
        <w:t xml:space="preserve">          </w:t>
      </w:r>
      <w:r w:rsidRPr="00CE18CF">
        <w:rPr>
          <w:rFonts w:ascii="STIX" w:hAnsi="STIX" w:cs="STIX"/>
          <w:color w:val="221E1F"/>
          <w:position w:val="-14"/>
          <w:sz w:val="24"/>
          <w:szCs w:val="24"/>
        </w:rPr>
        <w:object w:dxaOrig="780" w:dyaOrig="400">
          <v:shape id="_x0000_i1026" type="#_x0000_t75" style="width:39pt;height:20.25pt" o:ole="">
            <v:imagedata r:id="rId9" o:title=""/>
          </v:shape>
          <o:OLEObject Type="Embed" ProgID="Equation.DSMT4" ShapeID="_x0000_i1026" DrawAspect="Content" ObjectID="_1552653658" r:id="rId10"/>
        </w:object>
      </w:r>
    </w:p>
    <w:p w:rsidR="00CE18CF" w:rsidRPr="00CE18CF" w:rsidRDefault="00CE18CF" w:rsidP="00CE18CF">
      <w:pPr>
        <w:autoSpaceDE w:val="0"/>
        <w:autoSpaceDN w:val="0"/>
        <w:adjustRightInd w:val="0"/>
        <w:spacing w:after="0" w:line="240" w:lineRule="auto"/>
        <w:rPr>
          <w:rFonts w:ascii="STIX" w:hAnsi="STIX" w:cs="STIX"/>
          <w:color w:val="000000"/>
          <w:sz w:val="24"/>
          <w:szCs w:val="24"/>
        </w:rPr>
      </w:pPr>
    </w:p>
    <w:p w:rsidR="00CE18CF" w:rsidRPr="00CE18CF" w:rsidRDefault="00CE18CF" w:rsidP="00CE18CF">
      <w:pPr>
        <w:autoSpaceDE w:val="0"/>
        <w:autoSpaceDN w:val="0"/>
        <w:adjustRightInd w:val="0"/>
        <w:spacing w:after="0" w:line="200" w:lineRule="atLeast"/>
        <w:jc w:val="both"/>
        <w:rPr>
          <w:rFonts w:ascii="STIX" w:hAnsi="STIX" w:cs="STIX"/>
          <w:color w:val="221E1F"/>
          <w:sz w:val="24"/>
          <w:szCs w:val="24"/>
        </w:rPr>
      </w:pPr>
      <w:r w:rsidRPr="00CE18CF">
        <w:rPr>
          <w:rFonts w:ascii="STIX" w:hAnsi="STIX" w:cs="STIX"/>
          <w:color w:val="221E1F"/>
          <w:sz w:val="24"/>
          <w:szCs w:val="24"/>
        </w:rPr>
        <w:t xml:space="preserve">Neglecting the volume of water in the pipe, compute and plot the level of the water in the tank as a function of time over 100 seconds. Assume an initial condition of an empty tank </w:t>
      </w:r>
      <w:r w:rsidRPr="00CE18CF">
        <w:rPr>
          <w:rFonts w:ascii="STIX" w:hAnsi="STIX" w:cs="STIX"/>
          <w:i/>
          <w:iCs/>
          <w:color w:val="221E1F"/>
          <w:sz w:val="24"/>
          <w:szCs w:val="24"/>
        </w:rPr>
        <w:t>y</w:t>
      </w:r>
      <w:r w:rsidRPr="00CE18CF">
        <w:rPr>
          <w:rFonts w:ascii="STIX" w:hAnsi="STIX" w:cs="STIX"/>
          <w:color w:val="221E1F"/>
          <w:sz w:val="24"/>
          <w:szCs w:val="24"/>
        </w:rPr>
        <w:t xml:space="preserve">(0) = 0, and employ the following parameters for your computation: </w:t>
      </w:r>
    </w:p>
    <w:p w:rsidR="00CE18CF" w:rsidRPr="00CE18CF" w:rsidRDefault="00CE18CF" w:rsidP="00CE18CF">
      <w:pPr>
        <w:tabs>
          <w:tab w:val="left" w:pos="3600"/>
          <w:tab w:val="left" w:pos="6390"/>
        </w:tabs>
        <w:autoSpaceDE w:val="0"/>
        <w:autoSpaceDN w:val="0"/>
        <w:adjustRightInd w:val="0"/>
        <w:spacing w:after="0" w:line="200" w:lineRule="atLeast"/>
        <w:rPr>
          <w:rFonts w:ascii="STIX" w:hAnsi="STIX" w:cs="STIX"/>
          <w:color w:val="221E1F"/>
          <w:sz w:val="24"/>
          <w:szCs w:val="24"/>
        </w:rPr>
      </w:pPr>
      <w:r w:rsidRPr="00CE18CF">
        <w:rPr>
          <w:rFonts w:ascii="STIX" w:hAnsi="STIX" w:cs="STIX"/>
          <w:i/>
          <w:iCs/>
          <w:color w:val="221E1F"/>
          <w:sz w:val="24"/>
          <w:szCs w:val="24"/>
        </w:rPr>
        <w:t>R</w:t>
      </w:r>
      <w:r w:rsidRPr="00CE18CF">
        <w:rPr>
          <w:rFonts w:ascii="STIX" w:hAnsi="STIX" w:cs="STIX"/>
          <w:i/>
          <w:iCs/>
          <w:color w:val="221E1F"/>
          <w:sz w:val="32"/>
          <w:szCs w:val="24"/>
          <w:vertAlign w:val="subscript"/>
        </w:rPr>
        <w:t xml:space="preserve">T </w:t>
      </w:r>
      <w:r w:rsidRPr="00CE18CF">
        <w:rPr>
          <w:rFonts w:ascii="STIX" w:hAnsi="STIX" w:cs="STIX"/>
          <w:color w:val="221E1F"/>
          <w:sz w:val="24"/>
          <w:szCs w:val="24"/>
        </w:rPr>
        <w:t xml:space="preserve">= 0.05 m </w:t>
      </w:r>
      <w:r>
        <w:rPr>
          <w:rFonts w:ascii="STIX" w:hAnsi="STIX" w:cs="STIX"/>
          <w:color w:val="221E1F"/>
          <w:sz w:val="24"/>
          <w:szCs w:val="24"/>
        </w:rPr>
        <w:tab/>
      </w:r>
      <w:r w:rsidRPr="00CE18CF">
        <w:rPr>
          <w:rFonts w:ascii="STIX" w:hAnsi="STIX" w:cs="STIX"/>
          <w:i/>
          <w:iCs/>
          <w:color w:val="221E1F"/>
          <w:sz w:val="24"/>
          <w:szCs w:val="24"/>
        </w:rPr>
        <w:t xml:space="preserve">r </w:t>
      </w:r>
      <w:r w:rsidRPr="00CE18CF">
        <w:rPr>
          <w:rFonts w:ascii="STIX" w:hAnsi="STIX" w:cs="STIX"/>
          <w:color w:val="221E1F"/>
          <w:sz w:val="24"/>
          <w:szCs w:val="24"/>
        </w:rPr>
        <w:t xml:space="preserve">= 0.007 m </w:t>
      </w:r>
      <w:r>
        <w:rPr>
          <w:rFonts w:ascii="STIX" w:hAnsi="STIX" w:cs="STIX"/>
          <w:color w:val="221E1F"/>
          <w:sz w:val="24"/>
          <w:szCs w:val="24"/>
        </w:rPr>
        <w:tab/>
      </w:r>
      <w:r w:rsidRPr="00CE18CF">
        <w:rPr>
          <w:rFonts w:ascii="STIX" w:hAnsi="STIX" w:cs="STIX"/>
          <w:i/>
          <w:iCs/>
          <w:color w:val="221E1F"/>
          <w:sz w:val="24"/>
          <w:szCs w:val="24"/>
        </w:rPr>
        <w:t>y</w:t>
      </w:r>
      <w:r w:rsidRPr="00CE18CF">
        <w:rPr>
          <w:rFonts w:ascii="STIX" w:hAnsi="STIX" w:cs="STIX"/>
          <w:color w:val="221E1F"/>
          <w:sz w:val="32"/>
          <w:szCs w:val="24"/>
          <w:vertAlign w:val="subscript"/>
        </w:rPr>
        <w:t>low</w:t>
      </w:r>
      <w:r w:rsidRPr="00CE18CF">
        <w:rPr>
          <w:rFonts w:ascii="STIX" w:hAnsi="STIX" w:cs="STIX"/>
          <w:color w:val="221E1F"/>
          <w:sz w:val="24"/>
          <w:szCs w:val="24"/>
        </w:rPr>
        <w:t xml:space="preserve"> = 0.025 m </w:t>
      </w:r>
    </w:p>
    <w:p w:rsidR="00CE18CF" w:rsidRDefault="00CE18CF" w:rsidP="00CE18CF">
      <w:pPr>
        <w:tabs>
          <w:tab w:val="left" w:pos="3600"/>
          <w:tab w:val="left" w:pos="6390"/>
        </w:tabs>
        <w:autoSpaceDE w:val="0"/>
        <w:autoSpaceDN w:val="0"/>
        <w:adjustRightInd w:val="0"/>
        <w:spacing w:after="0" w:line="200" w:lineRule="atLeast"/>
        <w:rPr>
          <w:rFonts w:ascii="STIX" w:hAnsi="STIX" w:cs="STIX"/>
          <w:i/>
          <w:iCs/>
          <w:color w:val="221E1F"/>
          <w:sz w:val="24"/>
          <w:szCs w:val="24"/>
        </w:rPr>
      </w:pPr>
      <w:r w:rsidRPr="00CE18CF">
        <w:rPr>
          <w:rFonts w:ascii="STIX" w:hAnsi="STIX" w:cs="STIX"/>
          <w:i/>
          <w:iCs/>
          <w:color w:val="221E1F"/>
          <w:sz w:val="24"/>
          <w:szCs w:val="24"/>
        </w:rPr>
        <w:t>y</w:t>
      </w:r>
      <w:r w:rsidRPr="00CE18CF">
        <w:rPr>
          <w:rFonts w:ascii="STIX" w:hAnsi="STIX" w:cs="STIX"/>
          <w:i/>
          <w:iCs/>
          <w:color w:val="221E1F"/>
          <w:sz w:val="32"/>
          <w:szCs w:val="24"/>
          <w:vertAlign w:val="subscript"/>
        </w:rPr>
        <w:t>high</w:t>
      </w:r>
      <w:r w:rsidRPr="00CE18CF">
        <w:rPr>
          <w:rFonts w:ascii="STIX" w:hAnsi="STIX" w:cs="STIX"/>
          <w:i/>
          <w:iCs/>
          <w:color w:val="221E1F"/>
          <w:sz w:val="24"/>
          <w:szCs w:val="24"/>
        </w:rPr>
        <w:t xml:space="preserve"> = 0.1 m </w:t>
      </w:r>
      <w:r>
        <w:rPr>
          <w:rFonts w:ascii="STIX" w:hAnsi="STIX" w:cs="STIX"/>
          <w:i/>
          <w:iCs/>
          <w:color w:val="221E1F"/>
          <w:sz w:val="24"/>
          <w:szCs w:val="24"/>
        </w:rPr>
        <w:tab/>
      </w:r>
      <w:r w:rsidRPr="00CE18CF">
        <w:rPr>
          <w:rFonts w:ascii="STIX" w:hAnsi="STIX" w:cs="STIX"/>
          <w:i/>
          <w:iCs/>
          <w:color w:val="221E1F"/>
          <w:sz w:val="24"/>
          <w:szCs w:val="24"/>
        </w:rPr>
        <w:t xml:space="preserve">C = 0.6 </w:t>
      </w:r>
      <w:r>
        <w:rPr>
          <w:rFonts w:ascii="STIX" w:hAnsi="STIX" w:cs="STIX"/>
          <w:i/>
          <w:iCs/>
          <w:color w:val="221E1F"/>
          <w:sz w:val="24"/>
          <w:szCs w:val="24"/>
        </w:rPr>
        <w:tab/>
      </w:r>
      <w:r w:rsidRPr="00CE18CF">
        <w:rPr>
          <w:rFonts w:ascii="STIX" w:hAnsi="STIX" w:cs="STIX"/>
          <w:i/>
          <w:iCs/>
          <w:color w:val="221E1F"/>
          <w:sz w:val="24"/>
          <w:szCs w:val="24"/>
        </w:rPr>
        <w:t>g = 9.81 m/s</w:t>
      </w:r>
      <w:r w:rsidRPr="00CE18CF">
        <w:rPr>
          <w:rFonts w:ascii="STIX" w:hAnsi="STIX" w:cs="STIX"/>
          <w:i/>
          <w:iCs/>
          <w:color w:val="221E1F"/>
          <w:sz w:val="32"/>
          <w:szCs w:val="24"/>
          <w:vertAlign w:val="superscript"/>
        </w:rPr>
        <w:t>2</w:t>
      </w:r>
      <w:r w:rsidRPr="00CE18CF">
        <w:rPr>
          <w:rFonts w:ascii="STIX" w:hAnsi="STIX" w:cs="STIX"/>
          <w:i/>
          <w:iCs/>
          <w:color w:val="221E1F"/>
          <w:sz w:val="24"/>
          <w:szCs w:val="24"/>
        </w:rPr>
        <w:t xml:space="preserve"> </w:t>
      </w:r>
    </w:p>
    <w:p w:rsidR="00CE18CF" w:rsidRDefault="00CE18CF" w:rsidP="00CE18CF">
      <w:pPr>
        <w:autoSpaceDE w:val="0"/>
        <w:autoSpaceDN w:val="0"/>
        <w:adjustRightInd w:val="0"/>
        <w:spacing w:after="0" w:line="200" w:lineRule="atLeast"/>
        <w:rPr>
          <w:rFonts w:ascii="STIX" w:hAnsi="STIX" w:cs="STIX"/>
          <w:color w:val="221E1F"/>
          <w:sz w:val="24"/>
          <w:szCs w:val="24"/>
        </w:rPr>
      </w:pPr>
      <w:r w:rsidRPr="00CE18CF">
        <w:rPr>
          <w:rFonts w:ascii="STIX" w:hAnsi="STIX" w:cs="STIX"/>
          <w:i/>
          <w:iCs/>
          <w:color w:val="221E1F"/>
          <w:sz w:val="24"/>
          <w:szCs w:val="24"/>
        </w:rPr>
        <w:t>Q</w:t>
      </w:r>
      <w:r w:rsidRPr="00CE18CF">
        <w:rPr>
          <w:rFonts w:ascii="STIX" w:hAnsi="STIX" w:cs="STIX"/>
          <w:color w:val="221E1F"/>
          <w:sz w:val="32"/>
          <w:szCs w:val="24"/>
          <w:vertAlign w:val="subscript"/>
        </w:rPr>
        <w:t>in</w:t>
      </w:r>
      <w:r w:rsidRPr="00CE18CF">
        <w:rPr>
          <w:rFonts w:ascii="STIX" w:hAnsi="STIX" w:cs="STIX"/>
          <w:color w:val="221E1F"/>
          <w:sz w:val="24"/>
          <w:szCs w:val="24"/>
        </w:rPr>
        <w:t xml:space="preserve"> = 50 × 10</w:t>
      </w:r>
      <w:r w:rsidRPr="00CE18CF">
        <w:rPr>
          <w:rFonts w:ascii="STIX" w:hAnsi="STIX" w:cs="STIX"/>
          <w:color w:val="221E1F"/>
          <w:sz w:val="32"/>
          <w:szCs w:val="24"/>
          <w:vertAlign w:val="superscript"/>
        </w:rPr>
        <w:t>−6</w:t>
      </w:r>
      <w:r w:rsidRPr="00CE18CF">
        <w:rPr>
          <w:rFonts w:ascii="STIX" w:hAnsi="STIX" w:cs="STIX"/>
          <w:color w:val="221E1F"/>
          <w:sz w:val="24"/>
          <w:szCs w:val="24"/>
        </w:rPr>
        <w:t xml:space="preserve"> m</w:t>
      </w:r>
      <w:r w:rsidRPr="00CE18CF">
        <w:rPr>
          <w:rFonts w:ascii="STIX" w:hAnsi="STIX" w:cs="STIX"/>
          <w:color w:val="221E1F"/>
          <w:sz w:val="32"/>
          <w:szCs w:val="24"/>
          <w:vertAlign w:val="superscript"/>
        </w:rPr>
        <w:t>3</w:t>
      </w:r>
      <w:r w:rsidRPr="00CE18CF">
        <w:rPr>
          <w:rFonts w:ascii="STIX" w:hAnsi="STIX" w:cs="STIX"/>
          <w:color w:val="221E1F"/>
          <w:sz w:val="24"/>
          <w:szCs w:val="24"/>
        </w:rPr>
        <w:t>/s</w:t>
      </w:r>
    </w:p>
    <w:p w:rsidR="00CE18CF" w:rsidRPr="00CE18CF" w:rsidRDefault="00CE18CF" w:rsidP="00CE18CF">
      <w:pPr>
        <w:autoSpaceDE w:val="0"/>
        <w:autoSpaceDN w:val="0"/>
        <w:adjustRightInd w:val="0"/>
        <w:spacing w:after="0" w:line="200" w:lineRule="atLeast"/>
        <w:jc w:val="center"/>
        <w:rPr>
          <w:rFonts w:ascii="STIX" w:hAnsi="STIX" w:cs="STIX"/>
          <w:color w:val="221E1F"/>
          <w:sz w:val="24"/>
          <w:szCs w:val="24"/>
        </w:rPr>
      </w:pPr>
      <w:r>
        <w:rPr>
          <w:rFonts w:ascii="STIX" w:hAnsi="STIX" w:cs="STIX"/>
          <w:noProof/>
          <w:color w:val="221E1F"/>
          <w:sz w:val="24"/>
          <w:szCs w:val="24"/>
        </w:rPr>
        <w:drawing>
          <wp:inline distT="0" distB="0" distL="0" distR="0">
            <wp:extent cx="3600450" cy="2348361"/>
            <wp:effectExtent l="1905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1" cstate="print"/>
                    <a:srcRect/>
                    <a:stretch>
                      <a:fillRect/>
                    </a:stretch>
                  </pic:blipFill>
                  <pic:spPr bwMode="auto">
                    <a:xfrm>
                      <a:off x="0" y="0"/>
                      <a:ext cx="3600450" cy="2348361"/>
                    </a:xfrm>
                    <a:prstGeom prst="rect">
                      <a:avLst/>
                    </a:prstGeom>
                    <a:noFill/>
                    <a:ln w="9525">
                      <a:noFill/>
                      <a:miter lim="800000"/>
                      <a:headEnd/>
                      <a:tailEnd/>
                    </a:ln>
                  </pic:spPr>
                </pic:pic>
              </a:graphicData>
            </a:graphic>
          </wp:inline>
        </w:drawing>
      </w:r>
    </w:p>
    <w:sectPr w:rsidR="00CE18CF" w:rsidRPr="00CE18CF" w:rsidSect="00BC2414">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3B9"/>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060"/>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2017-03-20T21:43:00Z</dcterms:created>
  <dcterms:modified xsi:type="dcterms:W3CDTF">2017-04-02T21:41:00Z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