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D25B74" w:rsidRDefault="00512B6C" w:rsidP="00D25B74">
      <w:pPr>
        <w:pStyle w:val="Default"/>
        <w:ind w:right="-450"/>
        <w:rPr>
          <w:b/>
        </w:rPr>
      </w:pPr>
      <w:r w:rsidRPr="00D25B74">
        <w:rPr>
          <w:b/>
        </w:rPr>
        <w:t xml:space="preserve">Problem </w:t>
      </w:r>
      <w:r w:rsidR="00677803" w:rsidRPr="00D25B74">
        <w:rPr>
          <w:b/>
        </w:rPr>
        <w:t>2</w:t>
      </w:r>
      <w:r w:rsidR="00B37662" w:rsidRPr="00D25B74">
        <w:rPr>
          <w:b/>
        </w:rPr>
        <w:t>3.2</w:t>
      </w:r>
      <w:r w:rsidR="00D25B74" w:rsidRPr="00D25B74">
        <w:rPr>
          <w:b/>
        </w:rPr>
        <w:t>7</w:t>
      </w:r>
    </w:p>
    <w:p w:rsidR="00D25B74" w:rsidRPr="00D25B74" w:rsidRDefault="00D25B74" w:rsidP="00D25B74">
      <w:pPr>
        <w:autoSpaceDE w:val="0"/>
        <w:autoSpaceDN w:val="0"/>
        <w:adjustRightInd w:val="0"/>
        <w:spacing w:after="0" w:line="240" w:lineRule="auto"/>
        <w:rPr>
          <w:rFonts w:ascii="STIX" w:hAnsi="STIX" w:cs="STIX"/>
          <w:color w:val="000000"/>
          <w:sz w:val="24"/>
          <w:szCs w:val="24"/>
        </w:rPr>
      </w:pPr>
    </w:p>
    <w:p w:rsidR="00D25B74" w:rsidRPr="00D25B74" w:rsidRDefault="00D25B74" w:rsidP="00D25B74">
      <w:pPr>
        <w:autoSpaceDE w:val="0"/>
        <w:autoSpaceDN w:val="0"/>
        <w:adjustRightInd w:val="0"/>
        <w:spacing w:after="0" w:line="180" w:lineRule="atLeast"/>
        <w:rPr>
          <w:rFonts w:ascii="STIX" w:hAnsi="STIX" w:cs="STIX"/>
          <w:color w:val="221E1F"/>
          <w:sz w:val="24"/>
          <w:szCs w:val="18"/>
        </w:rPr>
      </w:pPr>
      <w:r w:rsidRPr="00D25B74">
        <w:rPr>
          <w:rFonts w:ascii="STIX" w:hAnsi="STIX" w:cs="STIX"/>
          <w:color w:val="221E1F"/>
          <w:sz w:val="24"/>
          <w:szCs w:val="18"/>
        </w:rPr>
        <w:t>The growth of bacteria from substrate can be repre</w:t>
      </w:r>
      <w:r w:rsidRPr="00D25B74">
        <w:rPr>
          <w:rFonts w:ascii="STIX" w:hAnsi="STIX" w:cs="STIX"/>
          <w:color w:val="221E1F"/>
          <w:sz w:val="24"/>
          <w:szCs w:val="18"/>
        </w:rPr>
        <w:softHyphen/>
        <w:t xml:space="preserve">sented by the following pair of differential equations </w:t>
      </w:r>
    </w:p>
    <w:p w:rsidR="00D25B74" w:rsidRDefault="00D25B74" w:rsidP="00D25B74">
      <w:pPr>
        <w:pStyle w:val="Default"/>
        <w:ind w:right="-450"/>
        <w:jc w:val="center"/>
        <w:rPr>
          <w:color w:val="221E1F"/>
          <w:szCs w:val="18"/>
        </w:rPr>
      </w:pPr>
      <w:r w:rsidRPr="00D25B74">
        <w:rPr>
          <w:color w:val="221E1F"/>
          <w:position w:val="-80"/>
          <w:szCs w:val="18"/>
        </w:rPr>
        <w:object w:dxaOrig="2280" w:dyaOrig="1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12" type="#_x0000_t75" style="width:114pt;height:86.25pt" o:ole="">
            <v:imagedata r:id="rId7" o:title=""/>
          </v:shape>
          <o:OLEObject Type="Embed" ProgID="Equation.DSMT4" ShapeID="_x0000_i2012" DrawAspect="Content" ObjectID="_1551535357" r:id="rId8"/>
        </w:object>
      </w:r>
      <w:r>
        <w:rPr>
          <w:color w:val="221E1F"/>
          <w:szCs w:val="18"/>
        </w:rPr>
        <w:t xml:space="preserve"> </w:t>
      </w:r>
    </w:p>
    <w:p w:rsidR="00D25B74" w:rsidRDefault="00D25B74" w:rsidP="00D25B74">
      <w:pPr>
        <w:pStyle w:val="Default"/>
        <w:ind w:right="-450"/>
        <w:rPr>
          <w:color w:val="221E1F"/>
          <w:szCs w:val="18"/>
        </w:rPr>
      </w:pPr>
    </w:p>
    <w:p w:rsidR="00D25B74" w:rsidRDefault="00D25B74" w:rsidP="00D25B74">
      <w:pPr>
        <w:pStyle w:val="Default"/>
        <w:ind w:right="-450"/>
        <w:rPr>
          <w:color w:val="221E1F"/>
          <w:szCs w:val="18"/>
        </w:rPr>
      </w:pPr>
      <w:r w:rsidRPr="00D25B74">
        <w:rPr>
          <w:color w:val="221E1F"/>
          <w:szCs w:val="18"/>
        </w:rPr>
        <w:t xml:space="preserve">where </w:t>
      </w:r>
      <w:r w:rsidRPr="00D25B74">
        <w:rPr>
          <w:i/>
          <w:iCs/>
          <w:color w:val="221E1F"/>
          <w:szCs w:val="18"/>
        </w:rPr>
        <w:t xml:space="preserve">X </w:t>
      </w:r>
      <w:r w:rsidRPr="00D25B74">
        <w:rPr>
          <w:color w:val="221E1F"/>
          <w:szCs w:val="18"/>
        </w:rPr>
        <w:t xml:space="preserve">= bacterial biomass, </w:t>
      </w:r>
      <w:r w:rsidRPr="00D25B74">
        <w:rPr>
          <w:i/>
          <w:iCs/>
          <w:color w:val="221E1F"/>
          <w:szCs w:val="18"/>
        </w:rPr>
        <w:t xml:space="preserve">t </w:t>
      </w:r>
      <w:r w:rsidRPr="00D25B74">
        <w:rPr>
          <w:color w:val="221E1F"/>
          <w:szCs w:val="18"/>
        </w:rPr>
        <w:t xml:space="preserve">= time (d), </w:t>
      </w:r>
      <w:r w:rsidRPr="00D25B74">
        <w:rPr>
          <w:i/>
          <w:iCs/>
          <w:color w:val="221E1F"/>
          <w:szCs w:val="18"/>
        </w:rPr>
        <w:t xml:space="preserve">Y </w:t>
      </w:r>
      <w:r w:rsidRPr="00D25B74">
        <w:rPr>
          <w:color w:val="221E1F"/>
          <w:szCs w:val="18"/>
        </w:rPr>
        <w:t>= a yield coef</w:t>
      </w:r>
      <w:r w:rsidRPr="00D25B74">
        <w:rPr>
          <w:color w:val="221E1F"/>
          <w:szCs w:val="18"/>
        </w:rPr>
        <w:softHyphen/>
        <w:t xml:space="preserve">ficient, </w:t>
      </w:r>
      <w:r w:rsidRPr="00D25B74">
        <w:rPr>
          <w:i/>
          <w:iCs/>
          <w:color w:val="221E1F"/>
          <w:szCs w:val="18"/>
        </w:rPr>
        <w:t>k</w:t>
      </w:r>
      <w:r w:rsidRPr="00D25B74">
        <w:rPr>
          <w:color w:val="221E1F"/>
        </w:rPr>
        <w:t xml:space="preserve">max </w:t>
      </w:r>
      <w:r w:rsidRPr="00D25B74">
        <w:rPr>
          <w:color w:val="221E1F"/>
          <w:szCs w:val="18"/>
        </w:rPr>
        <w:t xml:space="preserve">= maximum bacterial growth rate, </w:t>
      </w:r>
      <w:r w:rsidRPr="00D25B74">
        <w:rPr>
          <w:i/>
          <w:iCs/>
          <w:color w:val="221E1F"/>
          <w:szCs w:val="18"/>
        </w:rPr>
        <w:t xml:space="preserve">S </w:t>
      </w:r>
      <w:r w:rsidRPr="00D25B74">
        <w:rPr>
          <w:color w:val="221E1F"/>
          <w:szCs w:val="18"/>
        </w:rPr>
        <w:t xml:space="preserve">= substrate concentration, and </w:t>
      </w:r>
      <w:r w:rsidRPr="00D25B74">
        <w:rPr>
          <w:i/>
          <w:iCs/>
          <w:color w:val="221E1F"/>
          <w:szCs w:val="18"/>
        </w:rPr>
        <w:t>k</w:t>
      </w:r>
      <w:r w:rsidRPr="00D25B74">
        <w:rPr>
          <w:i/>
          <w:iCs/>
          <w:color w:val="221E1F"/>
          <w:sz w:val="32"/>
          <w:vertAlign w:val="subscript"/>
        </w:rPr>
        <w:t>s</w:t>
      </w:r>
      <w:r w:rsidRPr="00D25B74">
        <w:rPr>
          <w:i/>
          <w:iCs/>
          <w:color w:val="221E1F"/>
        </w:rPr>
        <w:t xml:space="preserve"> </w:t>
      </w:r>
      <w:r w:rsidRPr="00D25B74">
        <w:rPr>
          <w:color w:val="221E1F"/>
          <w:szCs w:val="18"/>
        </w:rPr>
        <w:t>= half saturation constant. The param</w:t>
      </w:r>
      <w:r w:rsidRPr="00D25B74">
        <w:rPr>
          <w:color w:val="221E1F"/>
          <w:szCs w:val="18"/>
        </w:rPr>
        <w:softHyphen/>
        <w:t xml:space="preserve">eter values are </w:t>
      </w:r>
      <w:r w:rsidRPr="00D25B74">
        <w:rPr>
          <w:i/>
          <w:iCs/>
          <w:color w:val="221E1F"/>
          <w:szCs w:val="18"/>
        </w:rPr>
        <w:t xml:space="preserve">Y </w:t>
      </w:r>
      <w:r w:rsidRPr="00D25B74">
        <w:rPr>
          <w:color w:val="221E1F"/>
          <w:szCs w:val="18"/>
        </w:rPr>
        <w:t xml:space="preserve">= 0.75, </w:t>
      </w:r>
      <w:r w:rsidRPr="00D25B74">
        <w:rPr>
          <w:i/>
          <w:iCs/>
          <w:color w:val="221E1F"/>
          <w:szCs w:val="18"/>
        </w:rPr>
        <w:t>k</w:t>
      </w:r>
      <w:r w:rsidRPr="00D25B74">
        <w:rPr>
          <w:color w:val="221E1F"/>
          <w:sz w:val="32"/>
          <w:vertAlign w:val="subscript"/>
        </w:rPr>
        <w:t>max</w:t>
      </w:r>
      <w:r w:rsidRPr="00D25B74">
        <w:rPr>
          <w:color w:val="221E1F"/>
        </w:rPr>
        <w:t xml:space="preserve"> </w:t>
      </w:r>
      <w:r w:rsidRPr="00D25B74">
        <w:rPr>
          <w:color w:val="221E1F"/>
          <w:szCs w:val="18"/>
        </w:rPr>
        <w:t xml:space="preserve">= 0.3, and </w:t>
      </w:r>
      <w:r w:rsidRPr="00D25B74">
        <w:rPr>
          <w:i/>
          <w:iCs/>
          <w:color w:val="221E1F"/>
          <w:szCs w:val="18"/>
        </w:rPr>
        <w:t>k</w:t>
      </w:r>
      <w:r w:rsidRPr="00D25B74">
        <w:rPr>
          <w:i/>
          <w:iCs/>
          <w:color w:val="221E1F"/>
          <w:sz w:val="32"/>
          <w:vertAlign w:val="subscript"/>
        </w:rPr>
        <w:t>s</w:t>
      </w:r>
      <w:r w:rsidRPr="00D25B74">
        <w:rPr>
          <w:i/>
          <w:iCs/>
          <w:color w:val="221E1F"/>
        </w:rPr>
        <w:t xml:space="preserve"> </w:t>
      </w:r>
      <w:r w:rsidRPr="00D25B74">
        <w:rPr>
          <w:color w:val="221E1F"/>
          <w:szCs w:val="18"/>
        </w:rPr>
        <w:t>= 1 × 10</w:t>
      </w:r>
      <w:r w:rsidRPr="00D25B74">
        <w:rPr>
          <w:color w:val="221E1F"/>
          <w:sz w:val="32"/>
          <w:vertAlign w:val="superscript"/>
        </w:rPr>
        <w:t>–4</w:t>
      </w:r>
      <w:r w:rsidRPr="00D25B74">
        <w:rPr>
          <w:color w:val="221E1F"/>
        </w:rPr>
        <w:t xml:space="preserve"> </w:t>
      </w:r>
      <w:r w:rsidRPr="00D25B74">
        <w:rPr>
          <w:color w:val="221E1F"/>
          <w:szCs w:val="18"/>
        </w:rPr>
        <w:t xml:space="preserve">and the initial conditions at </w:t>
      </w:r>
      <w:r w:rsidRPr="00D25B74">
        <w:rPr>
          <w:i/>
          <w:iCs/>
          <w:color w:val="221E1F"/>
          <w:szCs w:val="18"/>
        </w:rPr>
        <w:t xml:space="preserve">t </w:t>
      </w:r>
      <w:r w:rsidRPr="00D25B74">
        <w:rPr>
          <w:color w:val="221E1F"/>
          <w:szCs w:val="18"/>
        </w:rPr>
        <w:t xml:space="preserve">= 0 are </w:t>
      </w:r>
      <w:r w:rsidRPr="00D25B74">
        <w:rPr>
          <w:i/>
          <w:iCs/>
          <w:color w:val="221E1F"/>
          <w:szCs w:val="18"/>
        </w:rPr>
        <w:t>S</w:t>
      </w:r>
      <w:r w:rsidRPr="00D25B74">
        <w:rPr>
          <w:color w:val="221E1F"/>
          <w:szCs w:val="18"/>
        </w:rPr>
        <w:t xml:space="preserve">(0) = 5 and </w:t>
      </w:r>
      <w:r w:rsidRPr="00D25B74">
        <w:rPr>
          <w:i/>
          <w:iCs/>
          <w:color w:val="221E1F"/>
          <w:szCs w:val="18"/>
        </w:rPr>
        <w:t>X</w:t>
      </w:r>
      <w:r w:rsidRPr="00D25B74">
        <w:rPr>
          <w:color w:val="221E1F"/>
          <w:szCs w:val="18"/>
        </w:rPr>
        <w:t xml:space="preserve">(0) = 0.05. Note that neither </w:t>
      </w:r>
      <w:r w:rsidRPr="00D25B74">
        <w:rPr>
          <w:i/>
          <w:iCs/>
          <w:color w:val="221E1F"/>
          <w:szCs w:val="18"/>
        </w:rPr>
        <w:t xml:space="preserve">X </w:t>
      </w:r>
      <w:r w:rsidRPr="00D25B74">
        <w:rPr>
          <w:color w:val="221E1F"/>
          <w:szCs w:val="18"/>
        </w:rPr>
        <w:t xml:space="preserve">nor </w:t>
      </w:r>
      <w:r w:rsidRPr="00D25B74">
        <w:rPr>
          <w:i/>
          <w:iCs/>
          <w:color w:val="221E1F"/>
          <w:szCs w:val="18"/>
        </w:rPr>
        <w:t xml:space="preserve">S </w:t>
      </w:r>
      <w:r w:rsidRPr="00D25B74">
        <w:rPr>
          <w:color w:val="221E1F"/>
          <w:szCs w:val="18"/>
        </w:rPr>
        <w:t>can fall below zero as negative val</w:t>
      </w:r>
      <w:r w:rsidRPr="00D25B74">
        <w:rPr>
          <w:color w:val="221E1F"/>
          <w:szCs w:val="18"/>
        </w:rPr>
        <w:softHyphen/>
        <w:t xml:space="preserve">ues are impossible. </w:t>
      </w:r>
    </w:p>
    <w:p w:rsidR="00D25B74" w:rsidRDefault="00D25B74" w:rsidP="00D25B74">
      <w:pPr>
        <w:pStyle w:val="Default"/>
        <w:ind w:right="-450"/>
        <w:rPr>
          <w:color w:val="221E1F"/>
          <w:szCs w:val="18"/>
        </w:rPr>
      </w:pPr>
    </w:p>
    <w:p w:rsidR="00D25B74" w:rsidRDefault="00D25B74" w:rsidP="00D25B74">
      <w:pPr>
        <w:pStyle w:val="Default"/>
        <w:ind w:right="-450"/>
        <w:rPr>
          <w:color w:val="221E1F"/>
          <w:szCs w:val="18"/>
        </w:rPr>
      </w:pPr>
      <w:r w:rsidRPr="00D25B74">
        <w:rPr>
          <w:b/>
          <w:bCs/>
          <w:color w:val="221E1F"/>
          <w:szCs w:val="18"/>
        </w:rPr>
        <w:t xml:space="preserve">(a) </w:t>
      </w:r>
      <w:r w:rsidRPr="00D25B74">
        <w:rPr>
          <w:color w:val="221E1F"/>
          <w:szCs w:val="18"/>
        </w:rPr>
        <w:t xml:space="preserve">Use </w:t>
      </w:r>
      <w:r w:rsidRPr="00D25B74">
        <w:rPr>
          <w:rFonts w:ascii="Courier" w:hAnsi="Courier"/>
          <w:color w:val="221E1F"/>
          <w:szCs w:val="16"/>
        </w:rPr>
        <w:t>ode23</w:t>
      </w:r>
      <w:r w:rsidRPr="00D25B74">
        <w:rPr>
          <w:color w:val="221E1F"/>
          <w:szCs w:val="16"/>
        </w:rPr>
        <w:t xml:space="preserve"> </w:t>
      </w:r>
      <w:r w:rsidRPr="00D25B74">
        <w:rPr>
          <w:color w:val="221E1F"/>
          <w:szCs w:val="18"/>
        </w:rPr>
        <w:t xml:space="preserve">to solve for </w:t>
      </w:r>
      <w:r w:rsidRPr="00D25B74">
        <w:rPr>
          <w:i/>
          <w:iCs/>
          <w:color w:val="221E1F"/>
          <w:szCs w:val="18"/>
        </w:rPr>
        <w:t xml:space="preserve">X </w:t>
      </w:r>
      <w:r w:rsidRPr="00D25B74">
        <w:rPr>
          <w:color w:val="221E1F"/>
          <w:szCs w:val="18"/>
        </w:rPr>
        <w:t xml:space="preserve">and </w:t>
      </w:r>
      <w:r w:rsidRPr="00D25B74">
        <w:rPr>
          <w:i/>
          <w:iCs/>
          <w:color w:val="221E1F"/>
          <w:szCs w:val="18"/>
        </w:rPr>
        <w:t xml:space="preserve">S </w:t>
      </w:r>
      <w:r w:rsidRPr="00D25B74">
        <w:rPr>
          <w:color w:val="221E1F"/>
          <w:szCs w:val="18"/>
        </w:rPr>
        <w:t xml:space="preserve">from </w:t>
      </w:r>
      <w:r w:rsidRPr="00D25B74">
        <w:rPr>
          <w:i/>
          <w:iCs/>
          <w:color w:val="221E1F"/>
          <w:szCs w:val="18"/>
        </w:rPr>
        <w:t xml:space="preserve">t </w:t>
      </w:r>
      <w:r w:rsidRPr="00D25B74">
        <w:rPr>
          <w:color w:val="221E1F"/>
          <w:szCs w:val="18"/>
        </w:rPr>
        <w:t xml:space="preserve">= 0 to 20. </w:t>
      </w:r>
    </w:p>
    <w:p w:rsidR="00D25B74" w:rsidRDefault="00D25B74" w:rsidP="00D25B74">
      <w:pPr>
        <w:pStyle w:val="Default"/>
        <w:ind w:right="-450"/>
        <w:rPr>
          <w:color w:val="221E1F"/>
          <w:szCs w:val="18"/>
        </w:rPr>
      </w:pPr>
      <w:r w:rsidRPr="00D25B74">
        <w:rPr>
          <w:b/>
          <w:bCs/>
          <w:color w:val="221E1F"/>
          <w:szCs w:val="18"/>
        </w:rPr>
        <w:t xml:space="preserve">(b) </w:t>
      </w:r>
      <w:r w:rsidRPr="00D25B74">
        <w:rPr>
          <w:color w:val="221E1F"/>
          <w:szCs w:val="18"/>
        </w:rPr>
        <w:t>Repeat the solution, but set the relative toler</w:t>
      </w:r>
      <w:r w:rsidRPr="00D25B74">
        <w:rPr>
          <w:color w:val="221E1F"/>
          <w:szCs w:val="18"/>
        </w:rPr>
        <w:softHyphen/>
        <w:t>ance to 1 × 10</w:t>
      </w:r>
      <w:r w:rsidRPr="00D25B74">
        <w:rPr>
          <w:color w:val="221E1F"/>
          <w:sz w:val="32"/>
          <w:vertAlign w:val="superscript"/>
        </w:rPr>
        <w:t>–6</w:t>
      </w:r>
      <w:r w:rsidRPr="00D25B74">
        <w:rPr>
          <w:color w:val="221E1F"/>
          <w:szCs w:val="18"/>
        </w:rPr>
        <w:t xml:space="preserve">. </w:t>
      </w:r>
    </w:p>
    <w:p w:rsidR="00D25B74" w:rsidRDefault="00D25B74" w:rsidP="00D25B74">
      <w:pPr>
        <w:pStyle w:val="Default"/>
        <w:ind w:right="-450"/>
        <w:rPr>
          <w:color w:val="221E1F"/>
          <w:szCs w:val="18"/>
        </w:rPr>
      </w:pPr>
      <w:r w:rsidRPr="00D25B74">
        <w:rPr>
          <w:b/>
          <w:bCs/>
          <w:color w:val="221E1F"/>
          <w:szCs w:val="18"/>
        </w:rPr>
        <w:t xml:space="preserve">(c) </w:t>
      </w:r>
      <w:r w:rsidRPr="00D25B74">
        <w:rPr>
          <w:color w:val="221E1F"/>
          <w:szCs w:val="18"/>
        </w:rPr>
        <w:t>Keep repeating the solution with the relative tolerance set to 1 × 10</w:t>
      </w:r>
      <w:r w:rsidRPr="00D25B74">
        <w:rPr>
          <w:color w:val="221E1F"/>
          <w:sz w:val="32"/>
          <w:vertAlign w:val="superscript"/>
        </w:rPr>
        <w:t>–6</w:t>
      </w:r>
      <w:r w:rsidRPr="00D25B74">
        <w:rPr>
          <w:color w:val="221E1F"/>
          <w:szCs w:val="18"/>
        </w:rPr>
        <w:t xml:space="preserve">, but determine which of the MATLAB ode solvers (including the stiff solvers) obtains correct (i.e., positive) results. </w:t>
      </w:r>
    </w:p>
    <w:p w:rsidR="00D25B74" w:rsidRDefault="00D25B74" w:rsidP="00D25B74">
      <w:pPr>
        <w:pStyle w:val="Default"/>
        <w:ind w:right="-450"/>
        <w:rPr>
          <w:color w:val="221E1F"/>
          <w:szCs w:val="18"/>
        </w:rPr>
      </w:pPr>
    </w:p>
    <w:p w:rsidR="00E51151" w:rsidRPr="0096196C" w:rsidRDefault="00D25B74" w:rsidP="00D25B74">
      <w:pPr>
        <w:pStyle w:val="Default"/>
        <w:ind w:right="-450"/>
      </w:pPr>
      <w:r w:rsidRPr="00D25B74">
        <w:rPr>
          <w:color w:val="221E1F"/>
          <w:szCs w:val="18"/>
        </w:rPr>
        <w:t xml:space="preserve">Use the </w:t>
      </w:r>
      <w:r w:rsidRPr="00D25B74">
        <w:rPr>
          <w:rFonts w:ascii="Courier" w:hAnsi="Courier"/>
          <w:color w:val="221E1F"/>
          <w:szCs w:val="16"/>
        </w:rPr>
        <w:t>tic</w:t>
      </w:r>
      <w:r w:rsidRPr="00D25B74">
        <w:rPr>
          <w:color w:val="221E1F"/>
          <w:szCs w:val="16"/>
        </w:rPr>
        <w:t xml:space="preserve"> </w:t>
      </w:r>
      <w:r w:rsidRPr="00D25B74">
        <w:rPr>
          <w:color w:val="221E1F"/>
          <w:szCs w:val="18"/>
        </w:rPr>
        <w:t xml:space="preserve">and </w:t>
      </w:r>
      <w:r w:rsidRPr="00D25B74">
        <w:rPr>
          <w:rFonts w:ascii="Courier" w:hAnsi="Courier"/>
          <w:color w:val="221E1F"/>
          <w:szCs w:val="16"/>
        </w:rPr>
        <w:t>toc</w:t>
      </w:r>
      <w:r w:rsidRPr="00D25B74">
        <w:rPr>
          <w:color w:val="221E1F"/>
          <w:szCs w:val="16"/>
        </w:rPr>
        <w:t xml:space="preserve"> </w:t>
      </w:r>
      <w:r w:rsidRPr="00D25B74">
        <w:rPr>
          <w:color w:val="221E1F"/>
          <w:szCs w:val="18"/>
        </w:rPr>
        <w:t>functions to determine the execution time for each option.</w:t>
      </w:r>
    </w:p>
    <w:p w:rsidR="00D25B74" w:rsidRPr="0096196C" w:rsidRDefault="00D25B74">
      <w:pPr>
        <w:pStyle w:val="Default"/>
        <w:ind w:right="-450"/>
      </w:pPr>
    </w:p>
    <w:sectPr w:rsidR="00D25B74" w:rsidRPr="0096196C" w:rsidSect="009619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140</Words>
  <Characters>801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2017-03-20T22:59:00Z</dcterms:created>
  <dcterms:modified xsi:type="dcterms:W3CDTF">2017-03-20T22:59:00Z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