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8A6C49">
        <w:rPr>
          <w:b/>
          <w:noProof/>
          <w:sz w:val="20"/>
          <w:szCs w:val="20"/>
        </w:rPr>
        <w:t>3.5</w:t>
      </w:r>
    </w:p>
    <w:p w:rsidR="005375C4" w:rsidRDefault="005375C4" w:rsidP="005375C4">
      <w:pPr>
        <w:spacing w:after="0" w:line="240" w:lineRule="auto"/>
        <w:rPr>
          <w:rFonts w:ascii="STIX" w:eastAsia="Times New Roman" w:hAnsi="STIX"/>
          <w:sz w:val="20"/>
          <w:szCs w:val="24"/>
        </w:rPr>
      </w:pPr>
    </w:p>
    <w:p w:rsidR="008A6C49" w:rsidRPr="008A6C49" w:rsidRDefault="008A6C49" w:rsidP="008A6C49">
      <w:pPr>
        <w:spacing w:after="0" w:line="240" w:lineRule="auto"/>
        <w:rPr>
          <w:rFonts w:ascii="STIX" w:eastAsia="Times New Roman" w:hAnsi="STIX"/>
          <w:sz w:val="20"/>
          <w:szCs w:val="24"/>
        </w:rPr>
      </w:pPr>
      <w:r w:rsidRPr="008A6C49">
        <w:rPr>
          <w:rFonts w:ascii="STIX" w:eastAsia="Times New Roman" w:hAnsi="STIX"/>
          <w:b/>
          <w:sz w:val="20"/>
          <w:szCs w:val="24"/>
        </w:rPr>
        <w:t>(a)</w:t>
      </w:r>
      <w:r w:rsidRPr="008A6C49">
        <w:rPr>
          <w:rFonts w:ascii="STIX" w:eastAsia="Times New Roman" w:hAnsi="STIX"/>
          <w:sz w:val="20"/>
          <w:szCs w:val="24"/>
        </w:rPr>
        <w:t xml:space="preserve"> </w:t>
      </w:r>
      <w:r w:rsidRPr="008A6C49">
        <w:rPr>
          <w:rFonts w:ascii="STIX" w:eastAsia="Times New Roman" w:hAnsi="STIX"/>
          <w:i/>
          <w:sz w:val="20"/>
          <w:szCs w:val="24"/>
        </w:rPr>
        <w:t>h</w:t>
      </w:r>
      <w:r w:rsidRPr="008A6C49">
        <w:rPr>
          <w:rFonts w:ascii="STIX" w:eastAsia="Times New Roman" w:hAnsi="STIX"/>
          <w:sz w:val="20"/>
          <w:szCs w:val="24"/>
        </w:rPr>
        <w:t xml:space="preserve"> </w:t>
      </w:r>
      <w:r w:rsidRPr="008A6C49">
        <w:rPr>
          <w:rFonts w:ascii="Courier New" w:eastAsia="Times New Roman" w:hAnsi="Courier New"/>
          <w:sz w:val="20"/>
          <w:szCs w:val="24"/>
        </w:rPr>
        <w:t>&lt;</w:t>
      </w:r>
      <w:r w:rsidRPr="008A6C49">
        <w:rPr>
          <w:rFonts w:ascii="STIX" w:eastAsia="Times New Roman" w:hAnsi="STIX"/>
          <w:sz w:val="20"/>
          <w:szCs w:val="24"/>
        </w:rPr>
        <w:t xml:space="preserve"> 2</w:t>
      </w:r>
      <w:r w:rsidRPr="008A6C49">
        <w:rPr>
          <w:rFonts w:ascii="Courier New" w:eastAsia="Times New Roman" w:hAnsi="Courier New"/>
          <w:sz w:val="20"/>
          <w:szCs w:val="24"/>
        </w:rPr>
        <w:t>/</w:t>
      </w:r>
      <w:r w:rsidRPr="008A6C49">
        <w:rPr>
          <w:rFonts w:ascii="STIX" w:eastAsia="Times New Roman" w:hAnsi="STIX"/>
          <w:sz w:val="20"/>
          <w:szCs w:val="24"/>
        </w:rPr>
        <w:t xml:space="preserve">100,000 </w:t>
      </w:r>
      <w:r w:rsidRPr="008A6C49">
        <w:rPr>
          <w:rFonts w:ascii="Courier New" w:eastAsia="Times New Roman" w:hAnsi="Courier New"/>
          <w:sz w:val="20"/>
          <w:szCs w:val="24"/>
        </w:rPr>
        <w:t>=</w:t>
      </w:r>
      <w:r w:rsidRPr="008A6C49">
        <w:rPr>
          <w:rFonts w:ascii="Courier New" w:eastAsia="Times New Roman" w:hAnsi="Courier New"/>
          <w:position w:val="-6"/>
          <w:sz w:val="20"/>
          <w:szCs w:val="24"/>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020" type="#_x0000_t75" style="width:36.75pt;height:17.25pt" o:ole="">
            <v:imagedata r:id="rId8" o:title=""/>
          </v:shape>
          <o:OLEObject Type="Embed" ProgID="Equation.DSMT4" ShapeID="_x0000_i7020" DrawAspect="Content" ObjectID="_1552560567" r:id="rId9"/>
        </w:object>
      </w:r>
      <w:r w:rsidRPr="008A6C49">
        <w:rPr>
          <w:rFonts w:ascii="STIX" w:eastAsia="Times New Roman" w:hAnsi="STIX"/>
          <w:sz w:val="20"/>
          <w:szCs w:val="24"/>
        </w:rPr>
        <w:t>.</w:t>
      </w:r>
    </w:p>
    <w:p w:rsidR="008A6C49" w:rsidRPr="008A6C49" w:rsidRDefault="008A6C49" w:rsidP="008A6C49">
      <w:pPr>
        <w:spacing w:after="0" w:line="240" w:lineRule="auto"/>
        <w:rPr>
          <w:rFonts w:ascii="STIX" w:eastAsia="Times New Roman" w:hAnsi="STIX"/>
          <w:sz w:val="20"/>
          <w:szCs w:val="24"/>
        </w:rPr>
      </w:pPr>
    </w:p>
    <w:p w:rsidR="008A6C49" w:rsidRPr="008A6C49" w:rsidRDefault="008A6C49" w:rsidP="008A6C49">
      <w:pPr>
        <w:spacing w:after="0" w:line="240" w:lineRule="auto"/>
        <w:rPr>
          <w:rFonts w:ascii="STIX" w:eastAsia="Times New Roman" w:hAnsi="STIX"/>
          <w:sz w:val="20"/>
          <w:szCs w:val="24"/>
        </w:rPr>
      </w:pPr>
      <w:r w:rsidRPr="008A6C49">
        <w:rPr>
          <w:rFonts w:ascii="STIX" w:eastAsia="Times New Roman" w:hAnsi="STIX"/>
          <w:b/>
          <w:sz w:val="20"/>
          <w:szCs w:val="24"/>
        </w:rPr>
        <w:t>(b)</w:t>
      </w:r>
      <w:r w:rsidRPr="008A6C49">
        <w:rPr>
          <w:rFonts w:ascii="STIX" w:eastAsia="Times New Roman" w:hAnsi="STIX"/>
          <w:sz w:val="20"/>
          <w:szCs w:val="24"/>
        </w:rPr>
        <w:t xml:space="preserve"> The implicit Euler can be written for this problem as</w:t>
      </w:r>
    </w:p>
    <w:p w:rsidR="008A6C49" w:rsidRPr="008A6C49" w:rsidRDefault="008A6C49" w:rsidP="008A6C49">
      <w:pPr>
        <w:spacing w:after="0" w:line="240" w:lineRule="auto"/>
        <w:rPr>
          <w:rFonts w:ascii="STIX" w:eastAsia="Times New Roman" w:hAnsi="STIX"/>
          <w:sz w:val="20"/>
          <w:szCs w:val="24"/>
        </w:rPr>
      </w:pPr>
    </w:p>
    <w:p w:rsidR="008A6C49" w:rsidRPr="008A6C49" w:rsidRDefault="008A6C49" w:rsidP="008A6C49">
      <w:pPr>
        <w:spacing w:after="0" w:line="240" w:lineRule="auto"/>
        <w:rPr>
          <w:rFonts w:ascii="STIX" w:eastAsia="Times New Roman" w:hAnsi="STIX"/>
          <w:sz w:val="20"/>
          <w:szCs w:val="24"/>
        </w:rPr>
      </w:pPr>
      <w:r w:rsidRPr="008A6C49">
        <w:rPr>
          <w:rFonts w:ascii="Times New Roman" w:eastAsia="Times New Roman" w:hAnsi="Times New Roman"/>
          <w:position w:val="-12"/>
          <w:szCs w:val="24"/>
        </w:rPr>
        <w:object w:dxaOrig="3879" w:dyaOrig="400">
          <v:shape id="_x0000_i7021" type="#_x0000_t75" style="width:194.25pt;height:20.25pt" o:ole="">
            <v:imagedata r:id="rId10" o:title=""/>
          </v:shape>
          <o:OLEObject Type="Embed" ProgID="Equation.DSMT4" ShapeID="_x0000_i7021" DrawAspect="Content" ObjectID="_1552560568" r:id="rId11"/>
        </w:object>
      </w:r>
    </w:p>
    <w:p w:rsidR="008A6C49" w:rsidRPr="008A6C49" w:rsidRDefault="008A6C49" w:rsidP="008A6C49">
      <w:pPr>
        <w:spacing w:after="0" w:line="240" w:lineRule="auto"/>
        <w:rPr>
          <w:rFonts w:ascii="STIX" w:eastAsia="Times New Roman" w:hAnsi="STIX"/>
          <w:sz w:val="20"/>
          <w:szCs w:val="24"/>
        </w:rPr>
      </w:pPr>
    </w:p>
    <w:p w:rsidR="008A6C49" w:rsidRPr="008A6C49" w:rsidRDefault="008A6C49" w:rsidP="008A6C49">
      <w:pPr>
        <w:spacing w:after="0" w:line="240" w:lineRule="auto"/>
        <w:rPr>
          <w:rFonts w:ascii="STIX" w:eastAsia="Times New Roman" w:hAnsi="STIX"/>
          <w:sz w:val="20"/>
          <w:szCs w:val="24"/>
        </w:rPr>
      </w:pPr>
      <w:r w:rsidRPr="008A6C49">
        <w:rPr>
          <w:rFonts w:ascii="STIX" w:eastAsia="Times New Roman" w:hAnsi="STIX"/>
          <w:sz w:val="20"/>
          <w:szCs w:val="24"/>
        </w:rPr>
        <w:t>which can be solved for</w:t>
      </w:r>
    </w:p>
    <w:p w:rsidR="008A6C49" w:rsidRPr="008A6C49" w:rsidRDefault="008A6C49" w:rsidP="008A6C49">
      <w:pPr>
        <w:spacing w:after="0" w:line="240" w:lineRule="auto"/>
        <w:rPr>
          <w:rFonts w:ascii="STIX" w:eastAsia="Times New Roman" w:hAnsi="STIX"/>
          <w:sz w:val="20"/>
          <w:szCs w:val="24"/>
        </w:rPr>
      </w:pPr>
    </w:p>
    <w:p w:rsidR="008A6C49" w:rsidRPr="008A6C49" w:rsidRDefault="008A6C49" w:rsidP="008A6C49">
      <w:pPr>
        <w:spacing w:after="0" w:line="240" w:lineRule="auto"/>
        <w:rPr>
          <w:rFonts w:ascii="STIX" w:eastAsia="Times New Roman" w:hAnsi="STIX"/>
          <w:sz w:val="20"/>
          <w:szCs w:val="24"/>
        </w:rPr>
      </w:pPr>
      <w:r w:rsidRPr="008A6C49">
        <w:rPr>
          <w:rFonts w:ascii="Times New Roman" w:eastAsia="Times New Roman" w:hAnsi="Times New Roman"/>
          <w:position w:val="-28"/>
          <w:szCs w:val="24"/>
        </w:rPr>
        <w:object w:dxaOrig="2260" w:dyaOrig="720">
          <v:shape id="_x0000_i7022" type="#_x0000_t75" style="width:113.25pt;height:36pt" o:ole="">
            <v:imagedata r:id="rId12" o:title=""/>
          </v:shape>
          <o:OLEObject Type="Embed" ProgID="Equation.DSMT4" ShapeID="_x0000_i7022" DrawAspect="Content" ObjectID="_1552560569" r:id="rId13"/>
        </w:object>
      </w:r>
    </w:p>
    <w:p w:rsidR="008A6C49" w:rsidRPr="008A6C49" w:rsidRDefault="008A6C49" w:rsidP="008A6C49">
      <w:pPr>
        <w:spacing w:after="0" w:line="240" w:lineRule="auto"/>
        <w:rPr>
          <w:rFonts w:ascii="STIX" w:eastAsia="Times New Roman" w:hAnsi="STIX"/>
          <w:sz w:val="20"/>
          <w:szCs w:val="24"/>
        </w:rPr>
      </w:pPr>
    </w:p>
    <w:p w:rsidR="008A6C49" w:rsidRPr="008A6C49" w:rsidRDefault="008A6C49" w:rsidP="008A6C49">
      <w:pPr>
        <w:spacing w:after="0" w:line="240" w:lineRule="auto"/>
        <w:rPr>
          <w:rFonts w:ascii="STIX" w:eastAsia="Times New Roman" w:hAnsi="STIX"/>
          <w:sz w:val="20"/>
          <w:szCs w:val="24"/>
        </w:rPr>
      </w:pPr>
      <w:r w:rsidRPr="008A6C49">
        <w:rPr>
          <w:rFonts w:ascii="STIX" w:eastAsia="Times New Roman" w:hAnsi="STIX"/>
          <w:sz w:val="20"/>
          <w:szCs w:val="24"/>
        </w:rPr>
        <w:t>The results of applying this formula for the first few steps are shown below. A plot of the entire solution is also displayed</w:t>
      </w:r>
    </w:p>
    <w:p w:rsidR="008A6C49" w:rsidRPr="008A6C49" w:rsidRDefault="008A6C49" w:rsidP="008A6C49">
      <w:pPr>
        <w:spacing w:after="0" w:line="240" w:lineRule="auto"/>
        <w:rPr>
          <w:rFonts w:ascii="STIX" w:eastAsia="Times New Roman" w:hAnsi="STIX"/>
          <w:sz w:val="20"/>
          <w:szCs w:val="24"/>
        </w:rPr>
      </w:pPr>
    </w:p>
    <w:tbl>
      <w:tblPr>
        <w:tblW w:w="1618" w:type="dxa"/>
        <w:tblInd w:w="93" w:type="dxa"/>
        <w:tblLook w:val="04A0"/>
      </w:tblPr>
      <w:tblGrid>
        <w:gridCol w:w="567"/>
        <w:gridCol w:w="1051"/>
      </w:tblGrid>
      <w:tr w:rsidR="008A6C49" w:rsidRPr="008A6C49" w:rsidTr="00FF7247">
        <w:trPr>
          <w:trHeight w:val="144"/>
        </w:trPr>
        <w:tc>
          <w:tcPr>
            <w:tcW w:w="567" w:type="dxa"/>
            <w:tcBorders>
              <w:top w:val="single" w:sz="4" w:space="0" w:color="auto"/>
              <w:left w:val="nil"/>
              <w:bottom w:val="single" w:sz="4" w:space="0" w:color="auto"/>
              <w:right w:val="nil"/>
            </w:tcBorders>
            <w:noWrap/>
            <w:vAlign w:val="center"/>
            <w:hideMark/>
          </w:tcPr>
          <w:p w:rsidR="008A6C49" w:rsidRPr="008A6C49" w:rsidRDefault="008A6C49" w:rsidP="008A6C49">
            <w:pPr>
              <w:spacing w:after="0" w:line="240" w:lineRule="auto"/>
              <w:jc w:val="center"/>
              <w:rPr>
                <w:rFonts w:ascii="STIX MathJax Main" w:eastAsia="Times New Roman" w:hAnsi="STIX MathJax Main" w:cs="STIX MathJax Main"/>
                <w:b/>
                <w:i/>
                <w:sz w:val="18"/>
                <w:szCs w:val="18"/>
              </w:rPr>
            </w:pPr>
            <w:r w:rsidRPr="008A6C49">
              <w:rPr>
                <w:rFonts w:ascii="STIX" w:eastAsia="Times New Roman" w:hAnsi="STIX" w:cs="STIX MathJax Main"/>
                <w:b/>
                <w:i/>
                <w:sz w:val="18"/>
                <w:szCs w:val="18"/>
              </w:rPr>
              <w:t>t</w:t>
            </w:r>
          </w:p>
        </w:tc>
        <w:tc>
          <w:tcPr>
            <w:tcW w:w="1051" w:type="dxa"/>
            <w:tcBorders>
              <w:top w:val="single" w:sz="4" w:space="0" w:color="auto"/>
              <w:left w:val="nil"/>
              <w:bottom w:val="single" w:sz="4" w:space="0" w:color="auto"/>
              <w:right w:val="nil"/>
            </w:tcBorders>
            <w:noWrap/>
            <w:vAlign w:val="center"/>
            <w:hideMark/>
          </w:tcPr>
          <w:p w:rsidR="008A6C49" w:rsidRPr="008A6C49" w:rsidRDefault="008A6C49" w:rsidP="008A6C49">
            <w:pPr>
              <w:spacing w:after="0" w:line="240" w:lineRule="auto"/>
              <w:jc w:val="center"/>
              <w:rPr>
                <w:rFonts w:ascii="STIX MathJax Main" w:eastAsia="Times New Roman" w:hAnsi="STIX MathJax Main" w:cs="STIX MathJax Main"/>
                <w:b/>
                <w:i/>
                <w:sz w:val="18"/>
                <w:szCs w:val="18"/>
              </w:rPr>
            </w:pPr>
            <w:r w:rsidRPr="008A6C49">
              <w:rPr>
                <w:rFonts w:ascii="STIX" w:eastAsia="Times New Roman" w:hAnsi="STIX" w:cs="STIX MathJax Main"/>
                <w:b/>
                <w:i/>
                <w:sz w:val="18"/>
                <w:szCs w:val="18"/>
              </w:rPr>
              <w:t>y</w:t>
            </w:r>
          </w:p>
        </w:tc>
      </w:tr>
      <w:tr w:rsidR="008A6C49" w:rsidRPr="008A6C49" w:rsidTr="00FF7247">
        <w:trPr>
          <w:trHeight w:val="144"/>
        </w:trPr>
        <w:tc>
          <w:tcPr>
            <w:tcW w:w="567" w:type="dxa"/>
            <w:tcBorders>
              <w:top w:val="single" w:sz="4" w:space="0" w:color="auto"/>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w:t>
            </w:r>
          </w:p>
        </w:tc>
        <w:tc>
          <w:tcPr>
            <w:tcW w:w="1051" w:type="dxa"/>
            <w:tcBorders>
              <w:top w:val="single" w:sz="4" w:space="0" w:color="auto"/>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w:t>
            </w:r>
          </w:p>
        </w:tc>
      </w:tr>
      <w:tr w:rsidR="008A6C49" w:rsidRPr="008A6C49" w:rsidTr="00FF7247">
        <w:trPr>
          <w:trHeight w:val="144"/>
        </w:trPr>
        <w:tc>
          <w:tcPr>
            <w:tcW w:w="567" w:type="dxa"/>
            <w:tcBorders>
              <w:top w:val="nil"/>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0.1</w:t>
            </w:r>
          </w:p>
        </w:tc>
        <w:tc>
          <w:tcPr>
            <w:tcW w:w="1051" w:type="dxa"/>
            <w:tcBorders>
              <w:top w:val="nil"/>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0.904738</w:t>
            </w:r>
          </w:p>
        </w:tc>
      </w:tr>
      <w:tr w:rsidR="008A6C49" w:rsidRPr="008A6C49" w:rsidTr="00FF7247">
        <w:trPr>
          <w:trHeight w:val="144"/>
        </w:trPr>
        <w:tc>
          <w:tcPr>
            <w:tcW w:w="567" w:type="dxa"/>
            <w:tcBorders>
              <w:top w:val="nil"/>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0.2</w:t>
            </w:r>
          </w:p>
        </w:tc>
        <w:tc>
          <w:tcPr>
            <w:tcW w:w="1051" w:type="dxa"/>
            <w:tcBorders>
              <w:top w:val="nil"/>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0.818731</w:t>
            </w:r>
          </w:p>
        </w:tc>
      </w:tr>
      <w:tr w:rsidR="008A6C49" w:rsidRPr="008A6C49" w:rsidTr="00FF7247">
        <w:trPr>
          <w:trHeight w:val="144"/>
        </w:trPr>
        <w:tc>
          <w:tcPr>
            <w:tcW w:w="567" w:type="dxa"/>
            <w:tcBorders>
              <w:top w:val="nil"/>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0.3</w:t>
            </w:r>
          </w:p>
        </w:tc>
        <w:tc>
          <w:tcPr>
            <w:tcW w:w="1051" w:type="dxa"/>
            <w:tcBorders>
              <w:top w:val="nil"/>
              <w:left w:val="nil"/>
              <w:bottom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0.740819</w:t>
            </w:r>
          </w:p>
        </w:tc>
      </w:tr>
      <w:tr w:rsidR="008A6C49" w:rsidRPr="008A6C49" w:rsidTr="00FF7247">
        <w:trPr>
          <w:trHeight w:val="144"/>
        </w:trPr>
        <w:tc>
          <w:tcPr>
            <w:tcW w:w="567" w:type="dxa"/>
            <w:tcBorders>
              <w:top w:val="nil"/>
              <w:left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0.4</w:t>
            </w:r>
          </w:p>
        </w:tc>
        <w:tc>
          <w:tcPr>
            <w:tcW w:w="1051" w:type="dxa"/>
            <w:tcBorders>
              <w:top w:val="nil"/>
              <w:left w:val="nil"/>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0.67032</w:t>
            </w:r>
          </w:p>
        </w:tc>
      </w:tr>
      <w:tr w:rsidR="008A6C49" w:rsidRPr="008A6C49" w:rsidTr="00FF7247">
        <w:trPr>
          <w:trHeight w:val="144"/>
        </w:trPr>
        <w:tc>
          <w:tcPr>
            <w:tcW w:w="567" w:type="dxa"/>
            <w:tcBorders>
              <w:top w:val="nil"/>
              <w:left w:val="nil"/>
              <w:bottom w:val="single" w:sz="4" w:space="0" w:color="auto"/>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0.5</w:t>
            </w:r>
          </w:p>
        </w:tc>
        <w:tc>
          <w:tcPr>
            <w:tcW w:w="1051" w:type="dxa"/>
            <w:tcBorders>
              <w:top w:val="nil"/>
              <w:left w:val="nil"/>
              <w:bottom w:val="single" w:sz="4" w:space="0" w:color="auto"/>
              <w:right w:val="nil"/>
            </w:tcBorders>
            <w:noWrap/>
            <w:vAlign w:val="center"/>
            <w:hideMark/>
          </w:tcPr>
          <w:p w:rsidR="008A6C49" w:rsidRPr="008A6C49" w:rsidRDefault="008A6C49" w:rsidP="008A6C49">
            <w:pPr>
              <w:spacing w:after="0" w:line="240" w:lineRule="auto"/>
              <w:jc w:val="right"/>
              <w:rPr>
                <w:rFonts w:ascii="STIX MathJax Main" w:eastAsia="Times New Roman" w:hAnsi="STIX MathJax Main" w:cs="STIX MathJax Main"/>
                <w:sz w:val="18"/>
                <w:szCs w:val="18"/>
              </w:rPr>
            </w:pPr>
            <w:r w:rsidRPr="008A6C49">
              <w:rPr>
                <w:rFonts w:ascii="STIX" w:eastAsia="Times New Roman" w:hAnsi="STIX" w:cs="STIX MathJax Main"/>
                <w:sz w:val="18"/>
                <w:szCs w:val="18"/>
              </w:rPr>
              <w:t>0.606531</w:t>
            </w:r>
          </w:p>
        </w:tc>
      </w:tr>
    </w:tbl>
    <w:p w:rsidR="008A6C49" w:rsidRPr="008A6C49" w:rsidRDefault="008A6C49" w:rsidP="008A6C49">
      <w:pPr>
        <w:spacing w:after="0" w:line="240" w:lineRule="auto"/>
        <w:rPr>
          <w:rFonts w:ascii="STIX" w:eastAsia="Times New Roman" w:hAnsi="STIX"/>
          <w:sz w:val="20"/>
          <w:szCs w:val="24"/>
        </w:rPr>
      </w:pPr>
    </w:p>
    <w:p w:rsidR="008A6C49" w:rsidRPr="008A6C49" w:rsidRDefault="008A6C49" w:rsidP="008A6C49">
      <w:pPr>
        <w:spacing w:after="0" w:line="240" w:lineRule="auto"/>
        <w:rPr>
          <w:rFonts w:ascii="STIX" w:eastAsia="Times New Roman" w:hAnsi="STIX"/>
          <w:sz w:val="20"/>
          <w:szCs w:val="24"/>
        </w:rPr>
      </w:pPr>
      <w:r w:rsidRPr="008A6C49">
        <w:rPr>
          <w:rFonts w:ascii="STIX" w:eastAsia="Times New Roman" w:hAnsi="STIX"/>
          <w:sz w:val="20"/>
          <w:szCs w:val="24"/>
        </w:rPr>
        <w:drawing>
          <wp:inline distT="0" distB="0" distL="0" distR="0">
            <wp:extent cx="2078990" cy="1215190"/>
            <wp:effectExtent l="0" t="0" r="0" b="835"/>
            <wp:docPr id="294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4360D" w:rsidRPr="0024360D" w:rsidRDefault="0024360D" w:rsidP="008A6C49">
      <w:pPr>
        <w:spacing w:after="0" w:line="240" w:lineRule="auto"/>
        <w:rPr>
          <w:rFonts w:ascii="STIX" w:eastAsia="Times New Roman" w:hAnsi="STIX"/>
          <w:sz w:val="20"/>
          <w:szCs w:val="24"/>
          <w:lang w:val="en-GB"/>
        </w:rPr>
      </w:pPr>
    </w:p>
    <w:sectPr w:rsidR="0024360D" w:rsidRPr="0024360D" w:rsidSect="002C1C68">
      <w:footerReference w:type="default" r:id="rId1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schapr01\Dropbox\NumMethMatlab4\Solution%20Manual%204th%20Edition\NewSolMan\Chap23AdaptODE\prob2305ANM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000005086265609"/>
          <c:y val="0.10652983525025404"/>
          <c:w val="0.86458377308338075"/>
          <c:h val="0.64261545779991969"/>
        </c:manualLayout>
      </c:layout>
      <c:scatterChart>
        <c:scatterStyle val="lineMarker"/>
        <c:ser>
          <c:idx val="0"/>
          <c:order val="0"/>
          <c:tx>
            <c:strRef>
              <c:f>'Sheet1 (2)'!$B$6</c:f>
              <c:strCache>
                <c:ptCount val="1"/>
                <c:pt idx="0">
                  <c:v>y</c:v>
                </c:pt>
              </c:strCache>
            </c:strRef>
          </c:tx>
          <c:spPr>
            <a:ln w="25400">
              <a:solidFill>
                <a:srgbClr val="000000"/>
              </a:solidFill>
              <a:prstDash val="solid"/>
            </a:ln>
          </c:spPr>
          <c:marker>
            <c:symbol val="circle"/>
            <c:size val="5"/>
            <c:spPr>
              <a:solidFill>
                <a:srgbClr val="000000"/>
              </a:solidFill>
              <a:ln>
                <a:solidFill>
                  <a:srgbClr val="000000"/>
                </a:solidFill>
                <a:prstDash val="solid"/>
              </a:ln>
            </c:spPr>
          </c:marker>
          <c:xVal>
            <c:numRef>
              <c:f>'Sheet1 (2)'!$A$7:$A$27</c:f>
              <c:numCache>
                <c:formatCode>General</c:formatCode>
                <c:ptCount val="21"/>
                <c:pt idx="0">
                  <c:v>0</c:v>
                </c:pt>
                <c:pt idx="1">
                  <c:v>0.1</c:v>
                </c:pt>
                <c:pt idx="2">
                  <c:v>0.2</c:v>
                </c:pt>
                <c:pt idx="3">
                  <c:v>0.30000000000000021</c:v>
                </c:pt>
                <c:pt idx="4">
                  <c:v>0.4</c:v>
                </c:pt>
                <c:pt idx="5">
                  <c:v>0.5</c:v>
                </c:pt>
                <c:pt idx="6">
                  <c:v>0.60000000000000031</c:v>
                </c:pt>
                <c:pt idx="7">
                  <c:v>0.70000000000000029</c:v>
                </c:pt>
                <c:pt idx="8">
                  <c:v>0.79999999999999993</c:v>
                </c:pt>
                <c:pt idx="9">
                  <c:v>0.89999999999999991</c:v>
                </c:pt>
                <c:pt idx="10">
                  <c:v>0.99999999999999989</c:v>
                </c:pt>
                <c:pt idx="11">
                  <c:v>1.0999999999999992</c:v>
                </c:pt>
                <c:pt idx="12">
                  <c:v>1.2</c:v>
                </c:pt>
                <c:pt idx="13">
                  <c:v>1.3</c:v>
                </c:pt>
                <c:pt idx="14">
                  <c:v>1.4</c:v>
                </c:pt>
                <c:pt idx="15">
                  <c:v>1.5000000000000002</c:v>
                </c:pt>
                <c:pt idx="16">
                  <c:v>1.6000000000000003</c:v>
                </c:pt>
                <c:pt idx="17">
                  <c:v>1.7000000000000004</c:v>
                </c:pt>
                <c:pt idx="18">
                  <c:v>1.8000000000000005</c:v>
                </c:pt>
                <c:pt idx="19">
                  <c:v>1.9000000000000012</c:v>
                </c:pt>
                <c:pt idx="20">
                  <c:v>2.0000000000000004</c:v>
                </c:pt>
              </c:numCache>
            </c:numRef>
          </c:xVal>
          <c:yVal>
            <c:numRef>
              <c:f>'Sheet1 (2)'!$B$7:$B$27</c:f>
              <c:numCache>
                <c:formatCode>General</c:formatCode>
                <c:ptCount val="21"/>
                <c:pt idx="0">
                  <c:v>0</c:v>
                </c:pt>
                <c:pt idx="1">
                  <c:v>0.90473789587219189</c:v>
                </c:pt>
                <c:pt idx="2">
                  <c:v>0.81873116644339439</c:v>
                </c:pt>
                <c:pt idx="3">
                  <c:v>0.74081860375578024</c:v>
                </c:pt>
                <c:pt idx="4">
                  <c:v>0.67032039265628951</c:v>
                </c:pt>
                <c:pt idx="5">
                  <c:v>0.6065309733479668</c:v>
                </c:pt>
                <c:pt idx="6">
                  <c:v>0.54881191988301192</c:v>
                </c:pt>
                <c:pt idx="7">
                  <c:v>0.49658556057430275</c:v>
                </c:pt>
                <c:pt idx="8">
                  <c:v>0.44932919646399144</c:v>
                </c:pt>
                <c:pt idx="9">
                  <c:v>0.4065698699766509</c:v>
                </c:pt>
                <c:pt idx="10">
                  <c:v>0.36787963140088847</c:v>
                </c:pt>
                <c:pt idx="11">
                  <c:v>0.33287125582480076</c:v>
                </c:pt>
                <c:pt idx="12">
                  <c:v>0.30119436765889984</c:v>
                </c:pt>
                <c:pt idx="13">
                  <c:v>0.27253193395945241</c:v>
                </c:pt>
                <c:pt idx="14">
                  <c:v>0.24659709145621747</c:v>
                </c:pt>
                <c:pt idx="15">
                  <c:v>0.22313027552842118</c:v>
                </c:pt>
                <c:pt idx="16">
                  <c:v>0.2018966223947887</c:v>
                </c:pt>
                <c:pt idx="17">
                  <c:v>0.18268361851788173</c:v>
                </c:pt>
                <c:pt idx="18">
                  <c:v>0.16529897369718638</c:v>
                </c:pt>
                <c:pt idx="19">
                  <c:v>0.14956869656415617</c:v>
                </c:pt>
                <c:pt idx="20">
                  <c:v>0.13533535321811488</c:v>
                </c:pt>
              </c:numCache>
            </c:numRef>
          </c:yVal>
        </c:ser>
        <c:axId val="354182272"/>
        <c:axId val="354184576"/>
      </c:scatterChart>
      <c:valAx>
        <c:axId val="354182272"/>
        <c:scaling>
          <c:orientation val="minMax"/>
          <c:max val="2"/>
          <c:min val="0"/>
        </c:scaling>
        <c:axPos val="b"/>
        <c:numFmt formatCode="General" sourceLinked="1"/>
        <c:majorTickMark val="cross"/>
        <c:minorTickMark val="cross"/>
        <c:tickLblPos val="nextTo"/>
        <c:spPr>
          <a:ln w="12700">
            <a:solidFill>
              <a:srgbClr val="000000"/>
            </a:solidFill>
            <a:prstDash val="solid"/>
          </a:ln>
        </c:spPr>
        <c:txPr>
          <a:bodyPr rot="0" vert="horz"/>
          <a:lstStyle/>
          <a:p>
            <a:pPr>
              <a:defRPr sz="1600" b="1" i="0" u="none" strike="noStrike" baseline="0">
                <a:solidFill>
                  <a:srgbClr val="000000"/>
                </a:solidFill>
                <a:latin typeface="Arial"/>
                <a:ea typeface="Arial"/>
                <a:cs typeface="Arial"/>
              </a:defRPr>
            </a:pPr>
            <a:endParaRPr lang="en-US"/>
          </a:p>
        </c:txPr>
        <c:crossAx val="354184576"/>
        <c:crosses val="autoZero"/>
        <c:crossBetween val="midCat"/>
        <c:majorUnit val="1"/>
        <c:minorUnit val="0.5"/>
      </c:valAx>
      <c:valAx>
        <c:axId val="354184576"/>
        <c:scaling>
          <c:orientation val="minMax"/>
          <c:max val="1"/>
          <c:min val="0"/>
        </c:scaling>
        <c:axPos val="l"/>
        <c:numFmt formatCode="General" sourceLinked="1"/>
        <c:majorTickMark val="cross"/>
        <c:minorTickMark val="cross"/>
        <c:tickLblPos val="nextTo"/>
        <c:spPr>
          <a:ln w="12700">
            <a:solidFill>
              <a:srgbClr val="000000"/>
            </a:solidFill>
            <a:prstDash val="solid"/>
          </a:ln>
        </c:spPr>
        <c:txPr>
          <a:bodyPr rot="0" vert="horz"/>
          <a:lstStyle/>
          <a:p>
            <a:pPr>
              <a:defRPr sz="1600" b="1" i="0" u="none" strike="noStrike" baseline="0">
                <a:solidFill>
                  <a:srgbClr val="000000"/>
                </a:solidFill>
                <a:latin typeface="Arial"/>
                <a:ea typeface="Arial"/>
                <a:cs typeface="Arial"/>
              </a:defRPr>
            </a:pPr>
            <a:endParaRPr lang="en-US"/>
          </a:p>
        </c:txPr>
        <c:crossAx val="354182272"/>
        <c:crosses val="autoZero"/>
        <c:crossBetween val="midCat"/>
        <c:majorUnit val="0.5"/>
        <c:minorUnit val="0.1"/>
      </c:valAx>
      <c:spPr>
        <a:noFill/>
        <a:ln w="25400">
          <a:noFill/>
        </a:ln>
      </c:spPr>
    </c:plotArea>
    <c:plotVisOnly val="1"/>
    <c:dispBlanksAs val="gap"/>
  </c:chart>
  <c:spPr>
    <a:solidFill>
      <a:srgbClr val="FFFFFF"/>
    </a:solidFill>
    <a:ln w="9525">
      <a:noFill/>
    </a:ln>
  </c:spPr>
  <c:txPr>
    <a:bodyPr/>
    <a:lstStyle/>
    <a:p>
      <a:pPr>
        <a:defRPr sz="800" b="0" i="0" u="none" strike="noStrike" baseline="0">
          <a:solidFill>
            <a:srgbClr val="000000"/>
          </a:solidFill>
          <a:latin typeface="Arial"/>
          <a:ea typeface="Arial"/>
          <a:cs typeface="Arial"/>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D6DD0-93CC-44D9-87BA-B4361318C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354</Characters>
  <Application>Microsoft Office Word</Application>
  <DocSecurity>0</DocSecurity>
  <Lines>2</Lines>
  <Paragraphs>1</Paragraphs>
  <ScaleCrop>false</ScaleCrop>
  <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2017-04-01T15:19:00Z</dcterms:created>
  <dcterms:modified xsi:type="dcterms:W3CDTF">2017-04-01T15:19:00Z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