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014645">
        <w:rPr>
          <w:b/>
          <w:noProof/>
          <w:sz w:val="20"/>
          <w:szCs w:val="20"/>
        </w:rPr>
        <w:t>3.7</w:t>
      </w:r>
    </w:p>
    <w:p w:rsidR="005375C4" w:rsidRDefault="005375C4" w:rsidP="005375C4">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b/>
          <w:sz w:val="20"/>
          <w:szCs w:val="24"/>
        </w:rPr>
        <w:t>(a)</w:t>
      </w:r>
      <w:r w:rsidRPr="00014645">
        <w:rPr>
          <w:rFonts w:ascii="STIX" w:eastAsia="Times New Roman" w:hAnsi="STIX"/>
          <w:sz w:val="20"/>
          <w:szCs w:val="24"/>
        </w:rPr>
        <w:t xml:space="preserve"> The explicit Euler can be written for this problem as</w: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14"/>
          <w:szCs w:val="24"/>
        </w:rPr>
        <w:object w:dxaOrig="3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110" type="#_x0000_t75" style="width:156pt;height:18.75pt" o:ole="">
            <v:imagedata r:id="rId8" o:title=""/>
          </v:shape>
          <o:OLEObject Type="Embed" ProgID="Equation.DSMT4" ShapeID="_x0000_i7110" DrawAspect="Content" ObjectID="_1552560663" r:id="rId9"/>
        </w:object>
      </w: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14"/>
          <w:szCs w:val="24"/>
        </w:rPr>
        <w:object w:dxaOrig="3460" w:dyaOrig="380">
          <v:shape id="_x0000_i7111" type="#_x0000_t75" style="width:173.25pt;height:18.75pt" o:ole="">
            <v:imagedata r:id="rId10" o:title=""/>
          </v:shape>
          <o:OLEObject Type="Embed" ProgID="Equation.DSMT4" ShapeID="_x0000_i7111" DrawAspect="Content" ObjectID="_1552560664" r:id="rId11"/>
        </w:objec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Because the step-size is much too large for the stability requirements, the solution is unstable,</w:t>
      </w:r>
    </w:p>
    <w:p w:rsidR="00014645" w:rsidRPr="00014645" w:rsidRDefault="00014645" w:rsidP="00014645">
      <w:pPr>
        <w:spacing w:after="0" w:line="240" w:lineRule="auto"/>
        <w:rPr>
          <w:rFonts w:ascii="STIX" w:eastAsia="Times New Roman" w:hAnsi="STIX"/>
          <w:sz w:val="20"/>
          <w:szCs w:val="24"/>
        </w:rPr>
      </w:pPr>
    </w:p>
    <w:tbl>
      <w:tblPr>
        <w:tblW w:w="0" w:type="auto"/>
        <w:tblLayout w:type="fixed"/>
        <w:tblCellMar>
          <w:left w:w="30" w:type="dxa"/>
          <w:right w:w="30" w:type="dxa"/>
        </w:tblCellMar>
        <w:tblLook w:val="0000"/>
      </w:tblPr>
      <w:tblGrid>
        <w:gridCol w:w="570"/>
        <w:gridCol w:w="540"/>
        <w:gridCol w:w="952"/>
        <w:gridCol w:w="1148"/>
        <w:gridCol w:w="1150"/>
        <w:gridCol w:w="1148"/>
      </w:tblGrid>
      <w:tr w:rsidR="00014645" w:rsidRPr="00014645" w:rsidTr="00FF7247">
        <w:trPr>
          <w:trHeight w:val="144"/>
        </w:trPr>
        <w:tc>
          <w:tcPr>
            <w:tcW w:w="570" w:type="dxa"/>
            <w:tcBorders>
              <w:top w:val="nil"/>
              <w:left w:val="nil"/>
              <w:bottom w:val="nil"/>
              <w:right w:val="nil"/>
            </w:tcBorders>
            <w:vAlign w:val="center"/>
          </w:tcPr>
          <w:p w:rsidR="00014645" w:rsidRPr="00014645" w:rsidRDefault="00014645" w:rsidP="00014645">
            <w:pPr>
              <w:spacing w:after="0" w:line="240" w:lineRule="auto"/>
              <w:rPr>
                <w:rFonts w:ascii="STIX MathJax Main" w:eastAsia="Times New Roman" w:hAnsi="STIX MathJax Main" w:cs="STIX MathJax Main"/>
                <w:color w:val="000000"/>
                <w:sz w:val="18"/>
                <w:szCs w:val="18"/>
              </w:rPr>
            </w:pPr>
          </w:p>
        </w:tc>
        <w:tc>
          <w:tcPr>
            <w:tcW w:w="540"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center"/>
              <w:rPr>
                <w:rFonts w:ascii="STIX MathJax Main" w:eastAsia="Times New Roman" w:hAnsi="STIX MathJax Main" w:cs="STIX MathJax Main"/>
                <w:i/>
                <w:color w:val="000000"/>
                <w:sz w:val="18"/>
                <w:szCs w:val="18"/>
              </w:rPr>
            </w:pPr>
            <w:r w:rsidRPr="00014645">
              <w:rPr>
                <w:rFonts w:ascii="STIX" w:eastAsia="Times New Roman" w:hAnsi="STIX" w:cs="STIX MathJax Main"/>
                <w:i/>
                <w:color w:val="000000"/>
                <w:sz w:val="18"/>
                <w:szCs w:val="18"/>
              </w:rPr>
              <w:t>t</w:t>
            </w:r>
          </w:p>
        </w:tc>
        <w:tc>
          <w:tcPr>
            <w:tcW w:w="952"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center"/>
              <w:rPr>
                <w:rFonts w:ascii="STIX MathJax Main" w:eastAsia="Times New Roman" w:hAnsi="STIX MathJax Main" w:cs="STIX MathJax Main"/>
                <w:color w:val="000000"/>
                <w:sz w:val="18"/>
                <w:szCs w:val="18"/>
              </w:rPr>
            </w:pPr>
            <w:r w:rsidRPr="00014645">
              <w:rPr>
                <w:rFonts w:ascii="STIX" w:eastAsia="Times New Roman" w:hAnsi="STIX" w:cs="STIX MathJax Main"/>
                <w:i/>
                <w:color w:val="000000"/>
                <w:sz w:val="18"/>
                <w:szCs w:val="18"/>
              </w:rPr>
              <w:t>x</w:t>
            </w:r>
            <w:r w:rsidRPr="00014645">
              <w:rPr>
                <w:rFonts w:ascii="STIX" w:eastAsia="Times New Roman" w:hAnsi="STIX" w:cs="STIX MathJax Main"/>
                <w:color w:val="000000"/>
                <w:sz w:val="18"/>
                <w:szCs w:val="18"/>
                <w:vertAlign w:val="subscript"/>
              </w:rPr>
              <w:t>1</w:t>
            </w:r>
          </w:p>
        </w:tc>
        <w:tc>
          <w:tcPr>
            <w:tcW w:w="1148"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center"/>
              <w:rPr>
                <w:rFonts w:ascii="STIX MathJax Main" w:eastAsia="Times New Roman" w:hAnsi="STIX MathJax Main" w:cs="STIX MathJax Main"/>
                <w:color w:val="000000"/>
                <w:sz w:val="18"/>
                <w:szCs w:val="18"/>
              </w:rPr>
            </w:pPr>
            <w:r w:rsidRPr="00014645">
              <w:rPr>
                <w:rFonts w:ascii="STIX" w:eastAsia="Times New Roman" w:hAnsi="STIX" w:cs="STIX MathJax Main"/>
                <w:i/>
                <w:color w:val="000000"/>
                <w:sz w:val="18"/>
                <w:szCs w:val="18"/>
              </w:rPr>
              <w:t>x</w:t>
            </w:r>
            <w:r w:rsidRPr="00014645">
              <w:rPr>
                <w:rFonts w:ascii="STIX" w:eastAsia="Times New Roman" w:hAnsi="STIX" w:cs="STIX MathJax Main"/>
                <w:color w:val="000000"/>
                <w:sz w:val="18"/>
                <w:szCs w:val="18"/>
                <w:vertAlign w:val="subscript"/>
              </w:rPr>
              <w:t>2</w:t>
            </w:r>
          </w:p>
        </w:tc>
        <w:tc>
          <w:tcPr>
            <w:tcW w:w="1150"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center"/>
              <w:rPr>
                <w:rFonts w:ascii="STIX MathJax Main" w:eastAsia="Times New Roman" w:hAnsi="STIX MathJax Main" w:cs="STIX MathJax Main"/>
                <w:color w:val="000000"/>
                <w:sz w:val="18"/>
                <w:szCs w:val="18"/>
              </w:rPr>
            </w:pPr>
            <w:r w:rsidRPr="00014645">
              <w:rPr>
                <w:rFonts w:ascii="STIX" w:eastAsia="Times New Roman" w:hAnsi="STIX" w:cs="STIX MathJax Main"/>
                <w:i/>
                <w:color w:val="000000"/>
                <w:sz w:val="18"/>
                <w:szCs w:val="18"/>
              </w:rPr>
              <w:t>dx</w:t>
            </w:r>
            <w:r w:rsidRPr="00014645">
              <w:rPr>
                <w:rFonts w:ascii="STIX" w:eastAsia="Times New Roman" w:hAnsi="STIX" w:cs="STIX MathJax Main"/>
                <w:color w:val="000000"/>
                <w:sz w:val="18"/>
                <w:szCs w:val="18"/>
                <w:vertAlign w:val="subscript"/>
              </w:rPr>
              <w:t>1</w:t>
            </w:r>
            <w:r w:rsidRPr="00014645">
              <w:rPr>
                <w:rFonts w:ascii="Courier New" w:eastAsia="Times New Roman" w:hAnsi="Courier New" w:cs="STIX MathJax Main"/>
                <w:color w:val="000000"/>
                <w:sz w:val="18"/>
                <w:szCs w:val="18"/>
              </w:rPr>
              <w:t>/</w:t>
            </w:r>
            <w:r w:rsidRPr="00014645">
              <w:rPr>
                <w:rFonts w:ascii="STIX" w:eastAsia="Times New Roman" w:hAnsi="STIX" w:cs="STIX MathJax Main"/>
                <w:i/>
                <w:color w:val="000000"/>
                <w:sz w:val="18"/>
                <w:szCs w:val="18"/>
              </w:rPr>
              <w:t>dt</w:t>
            </w:r>
          </w:p>
        </w:tc>
        <w:tc>
          <w:tcPr>
            <w:tcW w:w="1148"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center"/>
              <w:rPr>
                <w:rFonts w:ascii="STIX MathJax Main" w:eastAsia="Times New Roman" w:hAnsi="STIX MathJax Main" w:cs="STIX MathJax Main"/>
                <w:color w:val="000000"/>
                <w:sz w:val="18"/>
                <w:szCs w:val="18"/>
              </w:rPr>
            </w:pPr>
            <w:r w:rsidRPr="00014645">
              <w:rPr>
                <w:rFonts w:ascii="STIX" w:eastAsia="Times New Roman" w:hAnsi="STIX" w:cs="STIX MathJax Main"/>
                <w:i/>
                <w:color w:val="000000"/>
                <w:sz w:val="18"/>
                <w:szCs w:val="18"/>
              </w:rPr>
              <w:t>dx</w:t>
            </w:r>
            <w:r w:rsidRPr="00014645">
              <w:rPr>
                <w:rFonts w:ascii="STIX" w:eastAsia="Times New Roman" w:hAnsi="STIX" w:cs="STIX MathJax Main"/>
                <w:color w:val="000000"/>
                <w:sz w:val="18"/>
                <w:szCs w:val="18"/>
                <w:vertAlign w:val="subscript"/>
              </w:rPr>
              <w:t>2</w:t>
            </w:r>
            <w:r w:rsidRPr="00014645">
              <w:rPr>
                <w:rFonts w:ascii="Courier New" w:eastAsia="Times New Roman" w:hAnsi="Courier New" w:cs="STIX MathJax Main"/>
                <w:color w:val="000000"/>
                <w:sz w:val="18"/>
                <w:szCs w:val="18"/>
              </w:rPr>
              <w:t>/</w:t>
            </w:r>
            <w:r w:rsidRPr="00014645">
              <w:rPr>
                <w:rFonts w:ascii="STIX" w:eastAsia="Times New Roman" w:hAnsi="STIX" w:cs="STIX MathJax Main"/>
                <w:i/>
                <w:color w:val="000000"/>
                <w:sz w:val="18"/>
                <w:szCs w:val="18"/>
              </w:rPr>
              <w:t>dt</w:t>
            </w:r>
          </w:p>
        </w:tc>
      </w:tr>
      <w:tr w:rsidR="00014645" w:rsidRPr="00014645" w:rsidTr="00FF7247">
        <w:trPr>
          <w:trHeight w:val="144"/>
        </w:trPr>
        <w:tc>
          <w:tcPr>
            <w:tcW w:w="57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p>
        </w:tc>
        <w:tc>
          <w:tcPr>
            <w:tcW w:w="540"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w:t>
            </w:r>
          </w:p>
        </w:tc>
        <w:tc>
          <w:tcPr>
            <w:tcW w:w="952"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w:t>
            </w:r>
          </w:p>
        </w:tc>
        <w:tc>
          <w:tcPr>
            <w:tcW w:w="1148"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w:t>
            </w:r>
          </w:p>
        </w:tc>
        <w:tc>
          <w:tcPr>
            <w:tcW w:w="1150"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2998</w:t>
            </w:r>
          </w:p>
        </w:tc>
        <w:tc>
          <w:tcPr>
            <w:tcW w:w="1148"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3000</w:t>
            </w:r>
          </w:p>
        </w:tc>
      </w:tr>
      <w:tr w:rsidR="00014645" w:rsidRPr="00014645" w:rsidTr="00FF7247">
        <w:trPr>
          <w:trHeight w:val="144"/>
        </w:trPr>
        <w:tc>
          <w:tcPr>
            <w:tcW w:w="57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p>
        </w:tc>
        <w:tc>
          <w:tcPr>
            <w:tcW w:w="54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0.05</w:t>
            </w:r>
          </w:p>
        </w:tc>
        <w:tc>
          <w:tcPr>
            <w:tcW w:w="952"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150.9</w:t>
            </w:r>
          </w:p>
        </w:tc>
        <w:tc>
          <w:tcPr>
            <w:tcW w:w="1148"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149</w:t>
            </w:r>
          </w:p>
        </w:tc>
        <w:tc>
          <w:tcPr>
            <w:tcW w:w="115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147102</w:t>
            </w:r>
          </w:p>
        </w:tc>
        <w:tc>
          <w:tcPr>
            <w:tcW w:w="1148"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147100</w:t>
            </w:r>
          </w:p>
        </w:tc>
      </w:tr>
      <w:tr w:rsidR="00014645" w:rsidRPr="00014645" w:rsidTr="00FF7247">
        <w:trPr>
          <w:trHeight w:val="144"/>
        </w:trPr>
        <w:tc>
          <w:tcPr>
            <w:tcW w:w="57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p>
        </w:tc>
        <w:tc>
          <w:tcPr>
            <w:tcW w:w="54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0.1</w:t>
            </w:r>
          </w:p>
        </w:tc>
        <w:tc>
          <w:tcPr>
            <w:tcW w:w="952"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7204.2</w:t>
            </w:r>
          </w:p>
        </w:tc>
        <w:tc>
          <w:tcPr>
            <w:tcW w:w="1148"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7206</w:t>
            </w:r>
          </w:p>
        </w:tc>
        <w:tc>
          <w:tcPr>
            <w:tcW w:w="115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7207803</w:t>
            </w:r>
          </w:p>
        </w:tc>
        <w:tc>
          <w:tcPr>
            <w:tcW w:w="1148"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7207805</w:t>
            </w:r>
          </w:p>
        </w:tc>
      </w:tr>
      <w:tr w:rsidR="00014645" w:rsidRPr="00014645" w:rsidTr="00FF7247">
        <w:trPr>
          <w:trHeight w:val="144"/>
        </w:trPr>
        <w:tc>
          <w:tcPr>
            <w:tcW w:w="57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p>
        </w:tc>
        <w:tc>
          <w:tcPr>
            <w:tcW w:w="540"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0.15</w:t>
            </w:r>
          </w:p>
        </w:tc>
        <w:tc>
          <w:tcPr>
            <w:tcW w:w="952"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353186</w:t>
            </w:r>
          </w:p>
        </w:tc>
        <w:tc>
          <w:tcPr>
            <w:tcW w:w="1148"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353184</w:t>
            </w:r>
          </w:p>
        </w:tc>
        <w:tc>
          <w:tcPr>
            <w:tcW w:w="1150"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3.5E</w:t>
            </w: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08</w:t>
            </w:r>
          </w:p>
        </w:tc>
        <w:tc>
          <w:tcPr>
            <w:tcW w:w="1148"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3.53E</w:t>
            </w: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08</w:t>
            </w:r>
          </w:p>
        </w:tc>
      </w:tr>
      <w:tr w:rsidR="00014645" w:rsidRPr="00014645" w:rsidTr="00FF7247">
        <w:trPr>
          <w:trHeight w:val="144"/>
        </w:trPr>
        <w:tc>
          <w:tcPr>
            <w:tcW w:w="57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p>
        </w:tc>
        <w:tc>
          <w:tcPr>
            <w:tcW w:w="540"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0.2</w:t>
            </w:r>
          </w:p>
        </w:tc>
        <w:tc>
          <w:tcPr>
            <w:tcW w:w="952"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1.7E</w:t>
            </w: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07</w:t>
            </w:r>
          </w:p>
        </w:tc>
        <w:tc>
          <w:tcPr>
            <w:tcW w:w="1148"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17305943</w:t>
            </w:r>
          </w:p>
        </w:tc>
        <w:tc>
          <w:tcPr>
            <w:tcW w:w="1150"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1.73E</w:t>
            </w: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10</w:t>
            </w:r>
          </w:p>
        </w:tc>
        <w:tc>
          <w:tcPr>
            <w:tcW w:w="1148"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1.7E</w:t>
            </w: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10</w:t>
            </w:r>
          </w:p>
        </w:tc>
      </w:tr>
    </w:tbl>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b/>
          <w:sz w:val="20"/>
          <w:szCs w:val="24"/>
        </w:rPr>
        <w:t>(b)</w:t>
      </w:r>
      <w:r w:rsidRPr="00014645">
        <w:rPr>
          <w:rFonts w:ascii="STIX" w:eastAsia="Times New Roman" w:hAnsi="STIX"/>
          <w:sz w:val="20"/>
          <w:szCs w:val="24"/>
        </w:rPr>
        <w:t xml:space="preserve"> The implicit Euler can be written for this problem as</w: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Times New Roman" w:eastAsia="Times New Roman" w:hAnsi="Times New Roman"/>
          <w:szCs w:val="24"/>
        </w:rPr>
      </w:pPr>
      <w:r w:rsidRPr="00014645">
        <w:rPr>
          <w:rFonts w:ascii="Times New Roman" w:eastAsia="Times New Roman" w:hAnsi="Times New Roman"/>
          <w:position w:val="-14"/>
          <w:szCs w:val="24"/>
        </w:rPr>
        <w:object w:dxaOrig="3400" w:dyaOrig="380">
          <v:shape id="_x0000_i7112" type="#_x0000_t75" style="width:170.25pt;height:18.75pt" o:ole="">
            <v:imagedata r:id="rId12" o:title=""/>
          </v:shape>
          <o:OLEObject Type="Embed" ProgID="Equation.DSMT4" ShapeID="_x0000_i7112" DrawAspect="Content" ObjectID="_1552560665" r:id="rId13"/>
        </w:objec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14"/>
          <w:szCs w:val="24"/>
        </w:rPr>
        <w:object w:dxaOrig="3739" w:dyaOrig="380">
          <v:shape id="_x0000_i7113" type="#_x0000_t75" style="width:186.75pt;height:18.75pt" o:ole="">
            <v:imagedata r:id="rId14" o:title=""/>
          </v:shape>
          <o:OLEObject Type="Embed" ProgID="Equation.DSMT4" ShapeID="_x0000_i7113" DrawAspect="Content" ObjectID="_1552560666" r:id="rId15"/>
        </w:objec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or collecting terms</w: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32"/>
          <w:szCs w:val="24"/>
        </w:rPr>
        <w:object w:dxaOrig="3300" w:dyaOrig="760">
          <v:shape id="_x0000_i7114" type="#_x0000_t75" style="width:165pt;height:38.25pt" o:ole="">
            <v:imagedata r:id="rId16" o:title=""/>
          </v:shape>
          <o:OLEObject Type="Embed" ProgID="Equation.DSMT4" ShapeID="_x0000_i7114" DrawAspect="Content" ObjectID="_1552560667" r:id="rId17"/>
        </w:objec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 xml:space="preserve">or substituting </w:t>
      </w:r>
      <w:r w:rsidRPr="00014645">
        <w:rPr>
          <w:rFonts w:ascii="STIX" w:eastAsia="Times New Roman" w:hAnsi="STIX"/>
          <w:i/>
          <w:sz w:val="20"/>
          <w:szCs w:val="24"/>
        </w:rPr>
        <w:t>h</w:t>
      </w:r>
      <w:r w:rsidRPr="00014645">
        <w:rPr>
          <w:rFonts w:ascii="STIX" w:eastAsia="Times New Roman" w:hAnsi="STIX"/>
          <w:sz w:val="20"/>
          <w:szCs w:val="24"/>
        </w:rPr>
        <w:t xml:space="preserve"> </w:t>
      </w:r>
      <w:r w:rsidRPr="00014645">
        <w:rPr>
          <w:rFonts w:ascii="Courier New" w:eastAsia="Times New Roman" w:hAnsi="Courier New"/>
          <w:sz w:val="20"/>
          <w:szCs w:val="24"/>
        </w:rPr>
        <w:t>=</w:t>
      </w:r>
      <w:r w:rsidRPr="00014645">
        <w:rPr>
          <w:rFonts w:ascii="STIX" w:eastAsia="Times New Roman" w:hAnsi="STIX"/>
          <w:sz w:val="20"/>
          <w:szCs w:val="24"/>
        </w:rPr>
        <w:t xml:space="preserve"> 0.05 and expressing in matrix format</w: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34"/>
          <w:szCs w:val="24"/>
        </w:rPr>
        <w:object w:dxaOrig="3360" w:dyaOrig="800">
          <v:shape id="_x0000_i7115" type="#_x0000_t75" style="width:168pt;height:39.75pt" o:ole="">
            <v:imagedata r:id="rId18" o:title=""/>
          </v:shape>
          <o:OLEObject Type="Embed" ProgID="Equation.DSMT4" ShapeID="_x0000_i7115" DrawAspect="Content" ObjectID="_1552560668" r:id="rId19"/>
        </w:object>
      </w:r>
    </w:p>
    <w:p w:rsidR="00014645" w:rsidRPr="00014645" w:rsidRDefault="00014645" w:rsidP="00014645">
      <w:pPr>
        <w:spacing w:after="0" w:line="240" w:lineRule="auto"/>
        <w:rPr>
          <w:rFonts w:ascii="STIX" w:eastAsia="Times New Roman" w:hAnsi="STIX"/>
          <w:sz w:val="20"/>
          <w:szCs w:val="24"/>
        </w:rPr>
      </w:pPr>
    </w:p>
    <w:p w:rsidR="00014645" w:rsidRDefault="00014645" w:rsidP="00014645">
      <w:pPr>
        <w:spacing w:after="0" w:line="240" w:lineRule="auto"/>
        <w:rPr>
          <w:rFonts w:ascii="STIX" w:hAnsi="STIX" w:cs="STIX"/>
          <w:i/>
          <w:sz w:val="20"/>
          <w:szCs w:val="20"/>
        </w:rPr>
      </w:pPr>
    </w:p>
    <w:p w:rsidR="00014645" w:rsidRDefault="00014645" w:rsidP="00014645">
      <w:pPr>
        <w:spacing w:after="0" w:line="240" w:lineRule="auto"/>
        <w:rPr>
          <w:rFonts w:ascii="STIX" w:hAnsi="STIX" w:cs="STIX"/>
          <w:i/>
          <w:sz w:val="20"/>
          <w:szCs w:val="20"/>
        </w:rPr>
      </w:pPr>
    </w:p>
    <w:p w:rsidR="00014645" w:rsidRDefault="00014645" w:rsidP="00014645">
      <w:pPr>
        <w:spacing w:after="0" w:line="240" w:lineRule="auto"/>
        <w:rPr>
          <w:rFonts w:ascii="STIX" w:hAnsi="STIX" w:cs="STIX"/>
          <w:i/>
          <w:sz w:val="20"/>
          <w:szCs w:val="20"/>
        </w:rPr>
      </w:pPr>
    </w:p>
    <w:p w:rsidR="00014645" w:rsidRDefault="00014645" w:rsidP="00014645">
      <w:pPr>
        <w:spacing w:after="0" w:line="240" w:lineRule="auto"/>
        <w:rPr>
          <w:rFonts w:ascii="STIX" w:hAnsi="STIX" w:cs="STIX"/>
          <w:i/>
          <w:sz w:val="20"/>
          <w:szCs w:val="20"/>
        </w:rPr>
      </w:pPr>
    </w:p>
    <w:p w:rsidR="00014645" w:rsidRDefault="00014645" w:rsidP="00014645">
      <w:pPr>
        <w:spacing w:after="0" w:line="240" w:lineRule="auto"/>
        <w:rPr>
          <w:rFonts w:ascii="STIX" w:hAnsi="STIX" w:cs="STIX"/>
          <w:i/>
          <w:sz w:val="20"/>
          <w:szCs w:val="20"/>
        </w:rPr>
        <w:sectPr w:rsidR="00014645" w:rsidSect="002C1C68">
          <w:footerReference w:type="default" r:id="rId2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Thus, to solve for the first time step, we substitute the initial conditions for the right-hand side and solve the 2</w:t>
      </w:r>
      <w:r w:rsidRPr="00014645">
        <w:rPr>
          <w:rFonts w:ascii="Courier New" w:eastAsia="Times New Roman" w:hAnsi="Courier New" w:cs="STIX MathJax Main"/>
          <w:sz w:val="20"/>
          <w:szCs w:val="24"/>
        </w:rPr>
        <w:t>×</w:t>
      </w:r>
      <w:r w:rsidRPr="00014645">
        <w:rPr>
          <w:rFonts w:ascii="STIX" w:eastAsia="Times New Roman" w:hAnsi="STIX"/>
          <w:sz w:val="20"/>
          <w:szCs w:val="24"/>
        </w:rPr>
        <w:t>2 system of equations. The best way to do this is with LU decomposition since we will have to solve the system repeatedly. For the present case, because it’s easier to display, we will use the matrix inverse to obtain the solution. Thus, if the matrix is inverted, the solution for the first step amounts to the matrix multiplication,</w: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34"/>
          <w:szCs w:val="24"/>
        </w:rPr>
        <w:object w:dxaOrig="4860" w:dyaOrig="800">
          <v:shape id="_x0000_i7116" type="#_x0000_t75" style="width:243pt;height:39.75pt" o:ole="">
            <v:imagedata r:id="rId21" o:title=""/>
          </v:shape>
          <o:OLEObject Type="Embed" ProgID="Equation.DSMT4" ShapeID="_x0000_i7116" DrawAspect="Content" ObjectID="_1552560669" r:id="rId22"/>
        </w:objec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 xml:space="preserve">For the second step (from </w:t>
      </w:r>
      <w:r w:rsidRPr="00014645">
        <w:rPr>
          <w:rFonts w:ascii="STIX" w:eastAsia="Times New Roman" w:hAnsi="STIX"/>
          <w:i/>
          <w:sz w:val="20"/>
          <w:szCs w:val="24"/>
        </w:rPr>
        <w:t>x</w:t>
      </w:r>
      <w:r w:rsidRPr="00014645">
        <w:rPr>
          <w:rFonts w:ascii="STIX" w:eastAsia="Times New Roman" w:hAnsi="STIX"/>
          <w:sz w:val="20"/>
          <w:szCs w:val="24"/>
        </w:rPr>
        <w:t xml:space="preserve"> </w:t>
      </w:r>
      <w:r w:rsidRPr="00014645">
        <w:rPr>
          <w:rFonts w:ascii="Courier New" w:eastAsia="Times New Roman" w:hAnsi="Courier New"/>
          <w:sz w:val="20"/>
          <w:szCs w:val="24"/>
        </w:rPr>
        <w:t>=</w:t>
      </w:r>
      <w:r w:rsidRPr="00014645">
        <w:rPr>
          <w:rFonts w:ascii="STIX" w:eastAsia="Times New Roman" w:hAnsi="STIX"/>
          <w:sz w:val="20"/>
          <w:szCs w:val="24"/>
        </w:rPr>
        <w:t xml:space="preserve"> 0.05 to 0.1),</w:t>
      </w: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 xml:space="preserve"> </w:t>
      </w:r>
    </w:p>
    <w:p w:rsidR="00014645" w:rsidRPr="00014645" w:rsidRDefault="00014645" w:rsidP="00014645">
      <w:pPr>
        <w:spacing w:after="0" w:line="240" w:lineRule="auto"/>
        <w:rPr>
          <w:rFonts w:ascii="STIX" w:eastAsia="Times New Roman" w:hAnsi="STIX"/>
          <w:sz w:val="20"/>
          <w:szCs w:val="24"/>
        </w:rPr>
      </w:pPr>
      <w:r w:rsidRPr="00014645">
        <w:rPr>
          <w:rFonts w:ascii="Times New Roman" w:eastAsia="Times New Roman" w:hAnsi="Times New Roman"/>
          <w:position w:val="-34"/>
          <w:szCs w:val="24"/>
        </w:rPr>
        <w:object w:dxaOrig="5700" w:dyaOrig="800">
          <v:shape id="_x0000_i7117" type="#_x0000_t75" style="width:285pt;height:39.75pt" o:ole="">
            <v:imagedata r:id="rId23" o:title=""/>
          </v:shape>
          <o:OLEObject Type="Embed" ProgID="Equation.DSMT4" ShapeID="_x0000_i7117" DrawAspect="Content" ObjectID="_1552560670" r:id="rId24"/>
        </w:objec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The remaining steps can be implemented in a similar fashion to give</w:t>
      </w:r>
    </w:p>
    <w:p w:rsidR="00014645" w:rsidRPr="00014645" w:rsidRDefault="00014645" w:rsidP="00014645">
      <w:pPr>
        <w:spacing w:after="0" w:line="240" w:lineRule="auto"/>
        <w:rPr>
          <w:rFonts w:ascii="STIX" w:eastAsia="Times New Roman" w:hAnsi="STIX"/>
          <w:sz w:val="20"/>
          <w:szCs w:val="24"/>
        </w:rPr>
      </w:pPr>
    </w:p>
    <w:tbl>
      <w:tblPr>
        <w:tblW w:w="0" w:type="auto"/>
        <w:tblInd w:w="480" w:type="dxa"/>
        <w:tblLayout w:type="fixed"/>
        <w:tblCellMar>
          <w:left w:w="30" w:type="dxa"/>
          <w:right w:w="30" w:type="dxa"/>
        </w:tblCellMar>
        <w:tblLook w:val="0000"/>
      </w:tblPr>
      <w:tblGrid>
        <w:gridCol w:w="530"/>
        <w:gridCol w:w="1011"/>
        <w:gridCol w:w="1010"/>
      </w:tblGrid>
      <w:tr w:rsidR="00014645" w:rsidRPr="00014645" w:rsidTr="00FF7247">
        <w:trPr>
          <w:trHeight w:val="144"/>
        </w:trPr>
        <w:tc>
          <w:tcPr>
            <w:tcW w:w="530"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b/>
                <w:i/>
                <w:color w:val="000000"/>
                <w:sz w:val="18"/>
                <w:szCs w:val="18"/>
              </w:rPr>
            </w:pPr>
            <w:r w:rsidRPr="00014645">
              <w:rPr>
                <w:rFonts w:ascii="STIX" w:eastAsia="Times New Roman" w:hAnsi="STIX" w:cs="STIX MathJax Main"/>
                <w:b/>
                <w:i/>
                <w:color w:val="000000"/>
                <w:sz w:val="18"/>
                <w:szCs w:val="18"/>
              </w:rPr>
              <w:t>t</w:t>
            </w:r>
          </w:p>
        </w:tc>
        <w:tc>
          <w:tcPr>
            <w:tcW w:w="1011"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b/>
                <w:i/>
                <w:color w:val="000000"/>
                <w:sz w:val="18"/>
                <w:szCs w:val="18"/>
              </w:rPr>
            </w:pPr>
            <w:r w:rsidRPr="00014645">
              <w:rPr>
                <w:rFonts w:ascii="STIX" w:eastAsia="Times New Roman" w:hAnsi="STIX" w:cs="STIX MathJax Main"/>
                <w:b/>
                <w:i/>
                <w:color w:val="000000"/>
                <w:sz w:val="18"/>
                <w:szCs w:val="18"/>
              </w:rPr>
              <w:t>x</w:t>
            </w:r>
            <w:r w:rsidRPr="00014645">
              <w:rPr>
                <w:rFonts w:ascii="STIX" w:eastAsia="Times New Roman" w:hAnsi="STIX" w:cs="STIX MathJax Main"/>
                <w:b/>
                <w:color w:val="000000"/>
                <w:sz w:val="18"/>
                <w:szCs w:val="18"/>
                <w:vertAlign w:val="subscript"/>
              </w:rPr>
              <w:t>1</w:t>
            </w:r>
          </w:p>
        </w:tc>
        <w:tc>
          <w:tcPr>
            <w:tcW w:w="1010" w:type="dxa"/>
            <w:tcBorders>
              <w:top w:val="single" w:sz="12" w:space="0" w:color="auto"/>
              <w:left w:val="nil"/>
              <w:bottom w:val="single" w:sz="6"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b/>
                <w:i/>
                <w:color w:val="000000"/>
                <w:sz w:val="18"/>
                <w:szCs w:val="18"/>
              </w:rPr>
            </w:pPr>
            <w:r w:rsidRPr="00014645">
              <w:rPr>
                <w:rFonts w:ascii="STIX" w:eastAsia="Times New Roman" w:hAnsi="STIX" w:cs="STIX MathJax Main"/>
                <w:b/>
                <w:i/>
                <w:color w:val="000000"/>
                <w:sz w:val="18"/>
                <w:szCs w:val="18"/>
              </w:rPr>
              <w:t>x</w:t>
            </w:r>
            <w:r w:rsidRPr="00014645">
              <w:rPr>
                <w:rFonts w:ascii="STIX" w:eastAsia="Times New Roman" w:hAnsi="STIX" w:cs="STIX MathJax Main"/>
                <w:b/>
                <w:color w:val="000000"/>
                <w:sz w:val="18"/>
                <w:szCs w:val="18"/>
                <w:vertAlign w:val="subscript"/>
              </w:rPr>
              <w:t>2</w:t>
            </w:r>
          </w:p>
        </w:tc>
      </w:tr>
      <w:tr w:rsidR="00014645" w:rsidRPr="00014645" w:rsidTr="00FF7247">
        <w:trPr>
          <w:trHeight w:val="144"/>
        </w:trPr>
        <w:tc>
          <w:tcPr>
            <w:tcW w:w="530"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w:t>
            </w:r>
          </w:p>
        </w:tc>
        <w:tc>
          <w:tcPr>
            <w:tcW w:w="1011"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w:t>
            </w:r>
          </w:p>
        </w:tc>
        <w:tc>
          <w:tcPr>
            <w:tcW w:w="1010" w:type="dxa"/>
            <w:tcBorders>
              <w:top w:val="single" w:sz="6" w:space="0" w:color="auto"/>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1</w:t>
            </w:r>
          </w:p>
        </w:tc>
      </w:tr>
      <w:tr w:rsidR="00014645" w:rsidRPr="00014645" w:rsidTr="00FF7247">
        <w:trPr>
          <w:trHeight w:val="144"/>
        </w:trPr>
        <w:tc>
          <w:tcPr>
            <w:tcW w:w="53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0.05</w:t>
            </w:r>
          </w:p>
        </w:tc>
        <w:tc>
          <w:tcPr>
            <w:tcW w:w="1011"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3.752568</w:t>
            </w:r>
          </w:p>
        </w:tc>
        <w:tc>
          <w:tcPr>
            <w:tcW w:w="101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1.84781</w:t>
            </w:r>
          </w:p>
        </w:tc>
      </w:tr>
      <w:tr w:rsidR="00014645" w:rsidRPr="00014645" w:rsidTr="00FF7247">
        <w:trPr>
          <w:trHeight w:val="144"/>
        </w:trPr>
        <w:tc>
          <w:tcPr>
            <w:tcW w:w="53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0.1</w:t>
            </w:r>
          </w:p>
        </w:tc>
        <w:tc>
          <w:tcPr>
            <w:tcW w:w="1011"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3.62878</w:t>
            </w:r>
          </w:p>
        </w:tc>
        <w:tc>
          <w:tcPr>
            <w:tcW w:w="1010" w:type="dxa"/>
            <w:tcBorders>
              <w:top w:val="nil"/>
              <w:left w:val="nil"/>
              <w:bottom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1.81472</w:t>
            </w:r>
          </w:p>
        </w:tc>
      </w:tr>
      <w:tr w:rsidR="00014645" w:rsidRPr="00014645" w:rsidTr="00FF7247">
        <w:trPr>
          <w:trHeight w:val="144"/>
        </w:trPr>
        <w:tc>
          <w:tcPr>
            <w:tcW w:w="530"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0.15</w:t>
            </w:r>
          </w:p>
        </w:tc>
        <w:tc>
          <w:tcPr>
            <w:tcW w:w="1011"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3.457057</w:t>
            </w:r>
          </w:p>
        </w:tc>
        <w:tc>
          <w:tcPr>
            <w:tcW w:w="1010" w:type="dxa"/>
            <w:tcBorders>
              <w:top w:val="nil"/>
              <w:left w:val="nil"/>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1.72938</w:t>
            </w:r>
          </w:p>
        </w:tc>
      </w:tr>
      <w:tr w:rsidR="00014645" w:rsidRPr="00014645" w:rsidTr="00FF7247">
        <w:trPr>
          <w:trHeight w:val="144"/>
        </w:trPr>
        <w:tc>
          <w:tcPr>
            <w:tcW w:w="530"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0.2</w:t>
            </w:r>
          </w:p>
        </w:tc>
        <w:tc>
          <w:tcPr>
            <w:tcW w:w="1011"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STIX" w:eastAsia="Times New Roman" w:hAnsi="STIX" w:cs="STIX MathJax Main"/>
                <w:color w:val="000000"/>
                <w:sz w:val="18"/>
                <w:szCs w:val="18"/>
              </w:rPr>
              <w:t>3.292457</w:t>
            </w:r>
          </w:p>
        </w:tc>
        <w:tc>
          <w:tcPr>
            <w:tcW w:w="1010" w:type="dxa"/>
            <w:tcBorders>
              <w:top w:val="nil"/>
              <w:left w:val="nil"/>
              <w:bottom w:val="single" w:sz="12" w:space="0" w:color="auto"/>
              <w:right w:val="nil"/>
            </w:tcBorders>
            <w:vAlign w:val="center"/>
          </w:tcPr>
          <w:p w:rsidR="00014645" w:rsidRPr="00014645" w:rsidRDefault="00014645" w:rsidP="00014645">
            <w:pPr>
              <w:spacing w:after="0" w:line="240" w:lineRule="auto"/>
              <w:jc w:val="right"/>
              <w:rPr>
                <w:rFonts w:ascii="STIX MathJax Main" w:eastAsia="Times New Roman" w:hAnsi="STIX MathJax Main" w:cs="STIX MathJax Main"/>
                <w:color w:val="000000"/>
                <w:sz w:val="18"/>
                <w:szCs w:val="18"/>
              </w:rPr>
            </w:pPr>
            <w:r w:rsidRPr="00014645">
              <w:rPr>
                <w:rFonts w:ascii="Courier New" w:eastAsia="Times New Roman" w:hAnsi="Courier New" w:cs="STIX MathJax Main"/>
                <w:color w:val="000000"/>
                <w:sz w:val="18"/>
                <w:szCs w:val="18"/>
              </w:rPr>
              <w:t>–</w:t>
            </w:r>
            <w:r w:rsidRPr="00014645">
              <w:rPr>
                <w:rFonts w:ascii="STIX" w:eastAsia="Times New Roman" w:hAnsi="STIX" w:cs="STIX MathJax Main"/>
                <w:color w:val="000000"/>
                <w:sz w:val="18"/>
                <w:szCs w:val="18"/>
              </w:rPr>
              <w:t>1.64705</w:t>
            </w:r>
          </w:p>
        </w:tc>
      </w:tr>
    </w:tbl>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t>The results are plotted below, along with a solution with the explicit Euler using a step of 0.0005.</w:t>
      </w:r>
    </w:p>
    <w:p w:rsidR="00014645" w:rsidRPr="00014645" w:rsidRDefault="00014645" w:rsidP="00014645">
      <w:pPr>
        <w:spacing w:after="0" w:line="240" w:lineRule="auto"/>
        <w:rPr>
          <w:rFonts w:ascii="STIX" w:eastAsia="Times New Roman" w:hAnsi="STIX"/>
          <w:sz w:val="20"/>
          <w:szCs w:val="24"/>
        </w:rPr>
      </w:pPr>
    </w:p>
    <w:p w:rsidR="00014645" w:rsidRPr="00014645" w:rsidRDefault="00014645" w:rsidP="00014645">
      <w:pPr>
        <w:spacing w:after="0" w:line="240" w:lineRule="auto"/>
        <w:rPr>
          <w:rFonts w:ascii="STIX" w:eastAsia="Times New Roman" w:hAnsi="STIX"/>
          <w:sz w:val="20"/>
          <w:szCs w:val="24"/>
        </w:rPr>
      </w:pPr>
      <w:r w:rsidRPr="00014645">
        <w:rPr>
          <w:rFonts w:ascii="STIX" w:eastAsia="Times New Roman" w:hAnsi="STIX"/>
          <w:sz w:val="20"/>
          <w:szCs w:val="24"/>
        </w:rPr>
        <w:drawing>
          <wp:inline distT="0" distB="0" distL="0" distR="0">
            <wp:extent cx="2173605" cy="1155700"/>
            <wp:effectExtent l="0" t="0" r="0" b="0"/>
            <wp:docPr id="29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cstate="print"/>
                    <a:srcRect/>
                    <a:stretch>
                      <a:fillRect/>
                    </a:stretch>
                  </pic:blipFill>
                  <pic:spPr bwMode="auto">
                    <a:xfrm>
                      <a:off x="0" y="0"/>
                      <a:ext cx="2173605" cy="1155700"/>
                    </a:xfrm>
                    <a:prstGeom prst="rect">
                      <a:avLst/>
                    </a:prstGeom>
                    <a:noFill/>
                    <a:ln w="9525">
                      <a:noFill/>
                      <a:miter lim="800000"/>
                      <a:headEnd/>
                      <a:tailEnd/>
                    </a:ln>
                  </pic:spPr>
                </pic:pic>
              </a:graphicData>
            </a:graphic>
          </wp:inline>
        </w:drawing>
      </w:r>
    </w:p>
    <w:p w:rsidR="0024360D" w:rsidRPr="0024360D" w:rsidRDefault="0024360D" w:rsidP="00014645">
      <w:pPr>
        <w:spacing w:after="0" w:line="240" w:lineRule="auto"/>
        <w:rPr>
          <w:rFonts w:ascii="STIX" w:eastAsia="Times New Roman" w:hAnsi="STIX"/>
          <w:sz w:val="20"/>
          <w:szCs w:val="24"/>
          <w:lang w:val="en-GB"/>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2372B-1A1C-4A59-A2ED-D2A83B8A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2017-04-01T15:21:00Z</dcterms:created>
  <dcterms:modified xsi:type="dcterms:W3CDTF">2017-04-01T15:21:00Z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