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6B4BE2">
        <w:rPr>
          <w:b/>
          <w:noProof/>
          <w:sz w:val="20"/>
          <w:szCs w:val="20"/>
        </w:rPr>
        <w:t>3.17</w:t>
      </w:r>
    </w:p>
    <w:p w:rsidR="005375C4" w:rsidRDefault="005375C4" w:rsidP="005375C4">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b/>
          <w:sz w:val="20"/>
          <w:szCs w:val="24"/>
        </w:rPr>
        <w:t>(a)</w:t>
      </w:r>
      <w:r w:rsidRPr="006B4BE2">
        <w:rPr>
          <w:rFonts w:ascii="STIX" w:eastAsia="Times New Roman" w:hAnsi="STIX"/>
          <w:sz w:val="20"/>
          <w:szCs w:val="24"/>
        </w:rPr>
        <w:t xml:space="preserve"> Analytic solution: </w: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cs="STIX MathJax Main"/>
          <w:position w:val="-10"/>
          <w:szCs w:val="24"/>
        </w:rPr>
        <w:object w:dxaOrig="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06" type="#_x0000_t75" style="width:45.75pt;height:18.75pt" o:ole="">
            <v:imagedata r:id="rId8" o:title=""/>
          </v:shape>
          <o:OLEObject Type="Embed" ProgID="Equation.DSMT4" ShapeID="_x0000_i7406" DrawAspect="Content" ObjectID="_1552561114" r:id="rId9"/>
        </w:objec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b/>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b/>
          <w:sz w:val="20"/>
          <w:szCs w:val="24"/>
        </w:rPr>
        <w:t>(b)</w:t>
      </w:r>
      <w:r w:rsidRPr="006B4BE2">
        <w:rPr>
          <w:rFonts w:ascii="STIX" w:eastAsia="Times New Roman" w:hAnsi="STIX"/>
          <w:sz w:val="20"/>
          <w:szCs w:val="24"/>
        </w:rPr>
        <w:t xml:space="preserve"> Explicit Euler</w: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Times New Roman" w:eastAsia="Times New Roman" w:hAnsi="Times New Roman"/>
          <w:position w:val="-12"/>
          <w:szCs w:val="24"/>
        </w:rPr>
        <w:object w:dxaOrig="1880" w:dyaOrig="360">
          <v:shape id="_x0000_i7407" type="#_x0000_t75" style="width:93.75pt;height:18pt" o:ole="">
            <v:imagedata r:id="rId10" o:title=""/>
          </v:shape>
          <o:OLEObject Type="Embed" ProgID="Equation.DSMT4" ShapeID="_x0000_i7407" DrawAspect="Content" ObjectID="_1552561115" r:id="rId11"/>
        </w:objec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t xml:space="preserve">Here are the results for </w:t>
      </w:r>
      <w:r w:rsidRPr="006B4BE2">
        <w:rPr>
          <w:rFonts w:ascii="STIX" w:eastAsia="Times New Roman" w:hAnsi="STIX"/>
          <w:i/>
          <w:sz w:val="20"/>
          <w:szCs w:val="24"/>
        </w:rPr>
        <w:t>h</w:t>
      </w:r>
      <w:r w:rsidRPr="006B4BE2">
        <w:rPr>
          <w:rFonts w:ascii="STIX" w:eastAsia="Times New Roman" w:hAnsi="STIX"/>
          <w:sz w:val="20"/>
          <w:szCs w:val="24"/>
        </w:rPr>
        <w:t xml:space="preserve"> </w:t>
      </w:r>
      <w:r w:rsidRPr="006B4BE2">
        <w:rPr>
          <w:rFonts w:ascii="Courier New" w:eastAsia="Times New Roman" w:hAnsi="Courier New"/>
          <w:sz w:val="20"/>
          <w:szCs w:val="24"/>
        </w:rPr>
        <w:t>=</w:t>
      </w:r>
      <w:r w:rsidRPr="006B4BE2">
        <w:rPr>
          <w:rFonts w:ascii="STIX" w:eastAsia="Times New Roman" w:hAnsi="STIX"/>
          <w:sz w:val="20"/>
          <w:szCs w:val="24"/>
        </w:rPr>
        <w:t xml:space="preserve"> 0.2. Notice that the solution oscillates:</w:t>
      </w:r>
    </w:p>
    <w:p w:rsidR="006B4BE2" w:rsidRPr="006B4BE2" w:rsidRDefault="006B4BE2" w:rsidP="006B4BE2">
      <w:pPr>
        <w:spacing w:after="0" w:line="240" w:lineRule="auto"/>
        <w:rPr>
          <w:rFonts w:ascii="STIX" w:eastAsia="Times New Roman" w:hAnsi="STIX"/>
          <w:sz w:val="20"/>
          <w:szCs w:val="24"/>
        </w:rPr>
      </w:pPr>
    </w:p>
    <w:tbl>
      <w:tblPr>
        <w:tblW w:w="2828" w:type="dxa"/>
        <w:tblInd w:w="468" w:type="dxa"/>
        <w:tblLook w:val="0000"/>
      </w:tblPr>
      <w:tblGrid>
        <w:gridCol w:w="616"/>
        <w:gridCol w:w="1004"/>
        <w:gridCol w:w="1208"/>
      </w:tblGrid>
      <w:tr w:rsidR="006B4BE2" w:rsidRPr="006B4BE2" w:rsidTr="00FF7247">
        <w:trPr>
          <w:trHeight w:val="144"/>
        </w:trPr>
        <w:tc>
          <w:tcPr>
            <w:tcW w:w="616" w:type="dxa"/>
            <w:tcBorders>
              <w:top w:val="single" w:sz="12" w:space="0" w:color="auto"/>
              <w:left w:val="nil"/>
              <w:bottom w:val="single" w:sz="4"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t</w:t>
            </w:r>
          </w:p>
        </w:tc>
        <w:tc>
          <w:tcPr>
            <w:tcW w:w="1004" w:type="dxa"/>
            <w:tcBorders>
              <w:top w:val="single" w:sz="12" w:space="0" w:color="auto"/>
              <w:left w:val="nil"/>
              <w:bottom w:val="single" w:sz="4"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y</w:t>
            </w:r>
          </w:p>
        </w:tc>
        <w:tc>
          <w:tcPr>
            <w:tcW w:w="1208" w:type="dxa"/>
            <w:tcBorders>
              <w:top w:val="single" w:sz="12" w:space="0" w:color="auto"/>
              <w:left w:val="nil"/>
              <w:bottom w:val="single" w:sz="4"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dy</w:t>
            </w:r>
            <w:r w:rsidRPr="006B4BE2">
              <w:rPr>
                <w:rFonts w:ascii="Courier New" w:eastAsia="Times New Roman" w:hAnsi="Courier New" w:cs="STIX MathJax Main"/>
                <w:b/>
                <w:sz w:val="18"/>
                <w:szCs w:val="20"/>
              </w:rPr>
              <w:t>/</w:t>
            </w:r>
            <w:r w:rsidRPr="006B4BE2">
              <w:rPr>
                <w:rFonts w:ascii="STIX" w:eastAsia="Times New Roman" w:hAnsi="STIX" w:cs="STIX MathJax Main"/>
                <w:b/>
                <w:i/>
                <w:sz w:val="18"/>
                <w:szCs w:val="20"/>
              </w:rPr>
              <w:t>dt</w:t>
            </w:r>
          </w:p>
        </w:tc>
      </w:tr>
      <w:tr w:rsidR="006B4BE2" w:rsidRPr="006B4BE2" w:rsidTr="00FF7247">
        <w:trPr>
          <w:trHeight w:val="144"/>
        </w:trPr>
        <w:tc>
          <w:tcPr>
            <w:tcW w:w="616" w:type="dxa"/>
            <w:tcBorders>
              <w:top w:val="single" w:sz="4" w:space="0" w:color="auto"/>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w:t>
            </w:r>
          </w:p>
        </w:tc>
        <w:tc>
          <w:tcPr>
            <w:tcW w:w="1004" w:type="dxa"/>
            <w:tcBorders>
              <w:top w:val="single" w:sz="4" w:space="0" w:color="auto"/>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c>
          <w:tcPr>
            <w:tcW w:w="1208" w:type="dxa"/>
            <w:tcBorders>
              <w:top w:val="single" w:sz="4" w:space="0" w:color="auto"/>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Courier New" w:eastAsia="Times New Roman" w:hAnsi="Courier New" w:cs="STIX MathJax Main"/>
                <w:sz w:val="18"/>
                <w:szCs w:val="20"/>
              </w:rPr>
              <w:t>–</w:t>
            </w:r>
            <w:r w:rsidRPr="006B4BE2">
              <w:rPr>
                <w:rFonts w:ascii="STIX" w:eastAsia="Times New Roman" w:hAnsi="STIX" w:cs="STIX MathJax Main"/>
                <w:sz w:val="18"/>
                <w:szCs w:val="20"/>
              </w:rPr>
              <w:t>10</w:t>
            </w:r>
          </w:p>
        </w:tc>
      </w:tr>
      <w:tr w:rsidR="006B4BE2" w:rsidRPr="006B4BE2" w:rsidTr="00FF7247">
        <w:trPr>
          <w:trHeight w:val="144"/>
        </w:trPr>
        <w:tc>
          <w:tcPr>
            <w:tcW w:w="616"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0.2</w:t>
            </w:r>
          </w:p>
        </w:tc>
        <w:tc>
          <w:tcPr>
            <w:tcW w:w="1004"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Courier New" w:eastAsia="Times New Roman" w:hAnsi="Courier New" w:cs="STIX MathJax Main"/>
                <w:sz w:val="18"/>
                <w:szCs w:val="20"/>
              </w:rPr>
              <w:t>–</w:t>
            </w:r>
            <w:r w:rsidRPr="006B4BE2">
              <w:rPr>
                <w:rFonts w:ascii="STIX" w:eastAsia="Times New Roman" w:hAnsi="STIX" w:cs="STIX MathJax Main"/>
                <w:sz w:val="18"/>
                <w:szCs w:val="20"/>
              </w:rPr>
              <w:t>1</w:t>
            </w:r>
          </w:p>
        </w:tc>
        <w:tc>
          <w:tcPr>
            <w:tcW w:w="1208"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10</w:t>
            </w:r>
          </w:p>
        </w:tc>
      </w:tr>
      <w:tr w:rsidR="006B4BE2" w:rsidRPr="006B4BE2" w:rsidTr="00FF7247">
        <w:trPr>
          <w:trHeight w:val="144"/>
        </w:trPr>
        <w:tc>
          <w:tcPr>
            <w:tcW w:w="616"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0.4</w:t>
            </w:r>
          </w:p>
        </w:tc>
        <w:tc>
          <w:tcPr>
            <w:tcW w:w="1004"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c>
          <w:tcPr>
            <w:tcW w:w="1208"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Courier New" w:eastAsia="Times New Roman" w:hAnsi="Courier New" w:cs="STIX MathJax Main"/>
                <w:sz w:val="18"/>
                <w:szCs w:val="20"/>
              </w:rPr>
              <w:t>–</w:t>
            </w:r>
            <w:r w:rsidRPr="006B4BE2">
              <w:rPr>
                <w:rFonts w:ascii="STIX" w:eastAsia="Times New Roman" w:hAnsi="STIX" w:cs="STIX MathJax Main"/>
                <w:sz w:val="18"/>
                <w:szCs w:val="20"/>
              </w:rPr>
              <w:t>10</w:t>
            </w:r>
          </w:p>
        </w:tc>
      </w:tr>
      <w:tr w:rsidR="006B4BE2" w:rsidRPr="006B4BE2" w:rsidTr="00FF7247">
        <w:trPr>
          <w:trHeight w:val="144"/>
        </w:trPr>
        <w:tc>
          <w:tcPr>
            <w:tcW w:w="616"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0.6</w:t>
            </w:r>
          </w:p>
        </w:tc>
        <w:tc>
          <w:tcPr>
            <w:tcW w:w="1004"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Courier New" w:eastAsia="Times New Roman" w:hAnsi="Courier New" w:cs="STIX MathJax Main"/>
                <w:sz w:val="18"/>
                <w:szCs w:val="20"/>
              </w:rPr>
              <w:t>–</w:t>
            </w:r>
            <w:r w:rsidRPr="006B4BE2">
              <w:rPr>
                <w:rFonts w:ascii="STIX" w:eastAsia="Times New Roman" w:hAnsi="STIX" w:cs="STIX MathJax Main"/>
                <w:sz w:val="18"/>
                <w:szCs w:val="20"/>
              </w:rPr>
              <w:t>1</w:t>
            </w:r>
          </w:p>
        </w:tc>
        <w:tc>
          <w:tcPr>
            <w:tcW w:w="1208"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10</w:t>
            </w:r>
          </w:p>
        </w:tc>
      </w:tr>
      <w:tr w:rsidR="006B4BE2" w:rsidRPr="006B4BE2" w:rsidTr="00FF7247">
        <w:trPr>
          <w:trHeight w:val="144"/>
        </w:trPr>
        <w:tc>
          <w:tcPr>
            <w:tcW w:w="616" w:type="dxa"/>
            <w:tcBorders>
              <w:top w:val="nil"/>
              <w:left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0.8</w:t>
            </w:r>
          </w:p>
        </w:tc>
        <w:tc>
          <w:tcPr>
            <w:tcW w:w="1004" w:type="dxa"/>
            <w:tcBorders>
              <w:top w:val="nil"/>
              <w:left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c>
          <w:tcPr>
            <w:tcW w:w="1208" w:type="dxa"/>
            <w:tcBorders>
              <w:top w:val="nil"/>
              <w:left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Courier New" w:eastAsia="Times New Roman" w:hAnsi="Courier New" w:cs="STIX MathJax Main"/>
                <w:sz w:val="18"/>
                <w:szCs w:val="20"/>
              </w:rPr>
              <w:t>–</w:t>
            </w:r>
            <w:r w:rsidRPr="006B4BE2">
              <w:rPr>
                <w:rFonts w:ascii="STIX" w:eastAsia="Times New Roman" w:hAnsi="STIX" w:cs="STIX MathJax Main"/>
                <w:sz w:val="18"/>
                <w:szCs w:val="20"/>
              </w:rPr>
              <w:t>10</w:t>
            </w:r>
          </w:p>
        </w:tc>
      </w:tr>
      <w:tr w:rsidR="006B4BE2" w:rsidRPr="006B4BE2" w:rsidTr="00FF7247">
        <w:trPr>
          <w:trHeight w:val="144"/>
        </w:trPr>
        <w:tc>
          <w:tcPr>
            <w:tcW w:w="616" w:type="dxa"/>
            <w:tcBorders>
              <w:top w:val="nil"/>
              <w:left w:val="nil"/>
              <w:bottom w:val="single" w:sz="12"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c>
          <w:tcPr>
            <w:tcW w:w="1004" w:type="dxa"/>
            <w:tcBorders>
              <w:top w:val="nil"/>
              <w:left w:val="nil"/>
              <w:bottom w:val="single" w:sz="12"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Courier New" w:eastAsia="Times New Roman" w:hAnsi="Courier New" w:cs="STIX MathJax Main"/>
                <w:sz w:val="18"/>
                <w:szCs w:val="20"/>
              </w:rPr>
              <w:t>–</w:t>
            </w:r>
            <w:r w:rsidRPr="006B4BE2">
              <w:rPr>
                <w:rFonts w:ascii="STIX" w:eastAsia="Times New Roman" w:hAnsi="STIX" w:cs="STIX MathJax Main"/>
                <w:sz w:val="18"/>
                <w:szCs w:val="20"/>
              </w:rPr>
              <w:t>1</w:t>
            </w:r>
          </w:p>
        </w:tc>
        <w:tc>
          <w:tcPr>
            <w:tcW w:w="1208" w:type="dxa"/>
            <w:tcBorders>
              <w:top w:val="nil"/>
              <w:left w:val="nil"/>
              <w:bottom w:val="single" w:sz="12"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10</w:t>
            </w:r>
          </w:p>
        </w:tc>
      </w:tr>
    </w:tbl>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t xml:space="preserve">For </w:t>
      </w:r>
      <w:r w:rsidRPr="006B4BE2">
        <w:rPr>
          <w:rFonts w:ascii="STIX" w:eastAsia="Times New Roman" w:hAnsi="STIX"/>
          <w:i/>
          <w:sz w:val="20"/>
          <w:szCs w:val="24"/>
        </w:rPr>
        <w:t>h</w:t>
      </w:r>
      <w:r w:rsidRPr="006B4BE2">
        <w:rPr>
          <w:rFonts w:ascii="STIX" w:eastAsia="Times New Roman" w:hAnsi="STIX"/>
          <w:sz w:val="20"/>
          <w:szCs w:val="24"/>
        </w:rPr>
        <w:t xml:space="preserve"> </w:t>
      </w:r>
      <w:r w:rsidRPr="006B4BE2">
        <w:rPr>
          <w:rFonts w:ascii="Courier New" w:eastAsia="Times New Roman" w:hAnsi="Courier New"/>
          <w:sz w:val="20"/>
          <w:szCs w:val="24"/>
        </w:rPr>
        <w:t>=</w:t>
      </w:r>
      <w:r w:rsidRPr="006B4BE2">
        <w:rPr>
          <w:rFonts w:ascii="STIX" w:eastAsia="Times New Roman" w:hAnsi="STIX"/>
          <w:sz w:val="20"/>
          <w:szCs w:val="24"/>
        </w:rPr>
        <w:t xml:space="preserve"> 0.1, the solution plunges abruptly to 0 at </w:t>
      </w:r>
      <w:r w:rsidRPr="006B4BE2">
        <w:rPr>
          <w:rFonts w:ascii="STIX" w:eastAsia="Times New Roman" w:hAnsi="STIX"/>
          <w:i/>
          <w:sz w:val="20"/>
          <w:szCs w:val="24"/>
        </w:rPr>
        <w:t>t</w:t>
      </w:r>
      <w:r w:rsidRPr="006B4BE2">
        <w:rPr>
          <w:rFonts w:ascii="STIX" w:eastAsia="Times New Roman" w:hAnsi="STIX"/>
          <w:sz w:val="20"/>
          <w:szCs w:val="24"/>
        </w:rPr>
        <w:t xml:space="preserve"> </w:t>
      </w:r>
      <w:r w:rsidRPr="006B4BE2">
        <w:rPr>
          <w:rFonts w:ascii="Courier New" w:eastAsia="Times New Roman" w:hAnsi="Courier New"/>
          <w:sz w:val="20"/>
          <w:szCs w:val="24"/>
        </w:rPr>
        <w:t>=</w:t>
      </w:r>
      <w:r w:rsidRPr="006B4BE2">
        <w:rPr>
          <w:rFonts w:ascii="STIX" w:eastAsia="Times New Roman" w:hAnsi="STIX"/>
          <w:sz w:val="20"/>
          <w:szCs w:val="24"/>
        </w:rPr>
        <w:t xml:space="preserve"> 0.1 and then stays at zero thereafter. Both results are displayed along with the analytical solution below:</w: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drawing>
          <wp:inline distT="0" distB="0" distL="0" distR="0">
            <wp:extent cx="3355975" cy="1380490"/>
            <wp:effectExtent l="19050" t="0" r="0" b="0"/>
            <wp:docPr id="298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3355975" cy="1380490"/>
                    </a:xfrm>
                    <a:prstGeom prst="rect">
                      <a:avLst/>
                    </a:prstGeom>
                    <a:noFill/>
                    <a:ln w="9525">
                      <a:noFill/>
                      <a:miter lim="800000"/>
                      <a:headEnd/>
                      <a:tailEnd/>
                    </a:ln>
                  </pic:spPr>
                </pic:pic>
              </a:graphicData>
            </a:graphic>
          </wp:inline>
        </w:drawing>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b/>
          <w:sz w:val="20"/>
          <w:szCs w:val="24"/>
        </w:rPr>
        <w:t>(c)</w:t>
      </w:r>
      <w:r w:rsidRPr="006B4BE2">
        <w:rPr>
          <w:rFonts w:ascii="STIX" w:eastAsia="Times New Roman" w:hAnsi="STIX"/>
          <w:sz w:val="20"/>
          <w:szCs w:val="24"/>
        </w:rPr>
        <w:t xml:space="preserve"> Implicit Euler</w: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Times New Roman" w:eastAsia="Times New Roman" w:hAnsi="Times New Roman"/>
          <w:position w:val="-24"/>
          <w:szCs w:val="24"/>
        </w:rPr>
        <w:object w:dxaOrig="1320" w:dyaOrig="660">
          <v:shape id="_x0000_i7408" type="#_x0000_t75" style="width:66pt;height:33pt" o:ole="">
            <v:imagedata r:id="rId13" o:title=""/>
          </v:shape>
          <o:OLEObject Type="Embed" ProgID="Equation.DSMT4" ShapeID="_x0000_i7408" DrawAspect="Content" ObjectID="_1552561116" r:id="rId14"/>
        </w:object>
      </w:r>
    </w:p>
    <w:p w:rsidR="006B4BE2" w:rsidRPr="006B4BE2" w:rsidRDefault="006B4BE2" w:rsidP="006B4BE2">
      <w:pPr>
        <w:spacing w:after="0" w:line="240" w:lineRule="auto"/>
        <w:rPr>
          <w:rFonts w:ascii="STIX" w:eastAsia="Times New Roman" w:hAnsi="STIX"/>
          <w:sz w:val="20"/>
          <w:szCs w:val="24"/>
        </w:rPr>
      </w:pPr>
    </w:p>
    <w:p w:rsidR="006B4BE2" w:rsidRDefault="006B4BE2" w:rsidP="006B4BE2">
      <w:pPr>
        <w:spacing w:after="0" w:line="240" w:lineRule="auto"/>
        <w:rPr>
          <w:rFonts w:ascii="STIX" w:hAnsi="STIX" w:cs="STIX"/>
          <w:i/>
          <w:sz w:val="20"/>
          <w:szCs w:val="20"/>
        </w:rPr>
      </w:pPr>
    </w:p>
    <w:p w:rsidR="006B4BE2" w:rsidRDefault="006B4BE2" w:rsidP="006B4BE2">
      <w:pPr>
        <w:spacing w:after="0" w:line="240" w:lineRule="auto"/>
        <w:rPr>
          <w:rFonts w:ascii="STIX" w:hAnsi="STIX" w:cs="STIX"/>
          <w:i/>
          <w:sz w:val="20"/>
          <w:szCs w:val="20"/>
        </w:rPr>
      </w:pPr>
    </w:p>
    <w:p w:rsidR="006B4BE2" w:rsidRDefault="006B4BE2" w:rsidP="006B4BE2">
      <w:pPr>
        <w:spacing w:after="0" w:line="240" w:lineRule="auto"/>
        <w:rPr>
          <w:rFonts w:ascii="STIX" w:hAnsi="STIX" w:cs="STIX"/>
          <w:i/>
          <w:sz w:val="20"/>
          <w:szCs w:val="20"/>
        </w:rPr>
        <w:sectPr w:rsidR="006B4BE2" w:rsidSect="002C1C68">
          <w:footerReference w:type="default" r:id="rId1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t xml:space="preserve">Here are the results for </w:t>
      </w:r>
      <w:r w:rsidRPr="006B4BE2">
        <w:rPr>
          <w:rFonts w:ascii="STIX" w:eastAsia="Times New Roman" w:hAnsi="STIX"/>
          <w:i/>
          <w:sz w:val="20"/>
          <w:szCs w:val="24"/>
        </w:rPr>
        <w:t>h</w:t>
      </w:r>
      <w:r w:rsidRPr="006B4BE2">
        <w:rPr>
          <w:rFonts w:ascii="STIX" w:eastAsia="Times New Roman" w:hAnsi="STIX"/>
          <w:sz w:val="20"/>
          <w:szCs w:val="24"/>
        </w:rPr>
        <w:t xml:space="preserve"> </w:t>
      </w:r>
      <w:r w:rsidRPr="006B4BE2">
        <w:rPr>
          <w:rFonts w:ascii="Courier New" w:eastAsia="Times New Roman" w:hAnsi="Courier New"/>
          <w:sz w:val="20"/>
          <w:szCs w:val="24"/>
        </w:rPr>
        <w:t>=</w:t>
      </w:r>
      <w:r w:rsidRPr="006B4BE2">
        <w:rPr>
          <w:rFonts w:ascii="STIX" w:eastAsia="Times New Roman" w:hAnsi="STIX"/>
          <w:sz w:val="20"/>
          <w:szCs w:val="24"/>
        </w:rPr>
        <w:t xml:space="preserve"> 0.2. Notice that although the solution is not very accurate, it is stable and declines monotonically in a similar fashion to the analytical solution.</w:t>
      </w:r>
    </w:p>
    <w:p w:rsidR="006B4BE2" w:rsidRPr="006B4BE2" w:rsidRDefault="006B4BE2" w:rsidP="006B4BE2">
      <w:pPr>
        <w:spacing w:after="0" w:line="240" w:lineRule="auto"/>
        <w:rPr>
          <w:rFonts w:ascii="STIX" w:eastAsia="Times New Roman" w:hAnsi="STIX"/>
          <w:sz w:val="20"/>
          <w:szCs w:val="24"/>
        </w:rPr>
      </w:pPr>
    </w:p>
    <w:tbl>
      <w:tblPr>
        <w:tblW w:w="2000" w:type="dxa"/>
        <w:tblInd w:w="468" w:type="dxa"/>
        <w:tblLook w:val="0000"/>
      </w:tblPr>
      <w:tblGrid>
        <w:gridCol w:w="616"/>
        <w:gridCol w:w="1384"/>
      </w:tblGrid>
      <w:tr w:rsidR="006B4BE2" w:rsidRPr="006B4BE2" w:rsidTr="00FF7247">
        <w:trPr>
          <w:trHeight w:val="144"/>
        </w:trPr>
        <w:tc>
          <w:tcPr>
            <w:tcW w:w="616" w:type="dxa"/>
            <w:tcBorders>
              <w:top w:val="single" w:sz="12" w:space="0" w:color="auto"/>
              <w:left w:val="nil"/>
              <w:bottom w:val="single" w:sz="4"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t</w:t>
            </w:r>
          </w:p>
        </w:tc>
        <w:tc>
          <w:tcPr>
            <w:tcW w:w="1384" w:type="dxa"/>
            <w:tcBorders>
              <w:top w:val="single" w:sz="12" w:space="0" w:color="auto"/>
              <w:left w:val="nil"/>
              <w:bottom w:val="single" w:sz="4"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y</w:t>
            </w:r>
          </w:p>
        </w:tc>
      </w:tr>
      <w:tr w:rsidR="006B4BE2" w:rsidRPr="006B4BE2" w:rsidTr="00FF7247">
        <w:trPr>
          <w:trHeight w:val="144"/>
        </w:trPr>
        <w:tc>
          <w:tcPr>
            <w:tcW w:w="616" w:type="dxa"/>
            <w:tcBorders>
              <w:top w:val="single" w:sz="4" w:space="0" w:color="auto"/>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w:t>
            </w:r>
          </w:p>
        </w:tc>
        <w:tc>
          <w:tcPr>
            <w:tcW w:w="1384" w:type="dxa"/>
            <w:tcBorders>
              <w:top w:val="single" w:sz="4" w:space="0" w:color="auto"/>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r>
      <w:tr w:rsidR="006B4BE2" w:rsidRPr="006B4BE2" w:rsidTr="00FF7247">
        <w:trPr>
          <w:trHeight w:val="144"/>
        </w:trPr>
        <w:tc>
          <w:tcPr>
            <w:tcW w:w="616"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0.2</w:t>
            </w:r>
          </w:p>
        </w:tc>
        <w:tc>
          <w:tcPr>
            <w:tcW w:w="1384"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0.333333333</w:t>
            </w:r>
          </w:p>
        </w:tc>
      </w:tr>
      <w:tr w:rsidR="006B4BE2" w:rsidRPr="006B4BE2" w:rsidTr="00FF7247">
        <w:trPr>
          <w:trHeight w:val="144"/>
        </w:trPr>
        <w:tc>
          <w:tcPr>
            <w:tcW w:w="616"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0.4</w:t>
            </w:r>
          </w:p>
        </w:tc>
        <w:tc>
          <w:tcPr>
            <w:tcW w:w="1384"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0.111111111</w:t>
            </w:r>
          </w:p>
        </w:tc>
      </w:tr>
      <w:tr w:rsidR="006B4BE2" w:rsidRPr="006B4BE2" w:rsidTr="00FF7247">
        <w:trPr>
          <w:trHeight w:val="144"/>
        </w:trPr>
        <w:tc>
          <w:tcPr>
            <w:tcW w:w="616"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0.6</w:t>
            </w:r>
          </w:p>
        </w:tc>
        <w:tc>
          <w:tcPr>
            <w:tcW w:w="1384" w:type="dxa"/>
            <w:tcBorders>
              <w:top w:val="nil"/>
              <w:left w:val="nil"/>
              <w:bottom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0.037037037</w:t>
            </w:r>
          </w:p>
        </w:tc>
      </w:tr>
      <w:tr w:rsidR="006B4BE2" w:rsidRPr="006B4BE2" w:rsidTr="00FF7247">
        <w:trPr>
          <w:trHeight w:val="144"/>
        </w:trPr>
        <w:tc>
          <w:tcPr>
            <w:tcW w:w="616" w:type="dxa"/>
            <w:tcBorders>
              <w:top w:val="nil"/>
              <w:left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0.8</w:t>
            </w:r>
          </w:p>
        </w:tc>
        <w:tc>
          <w:tcPr>
            <w:tcW w:w="1384" w:type="dxa"/>
            <w:tcBorders>
              <w:top w:val="nil"/>
              <w:left w:val="nil"/>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0.012345679</w:t>
            </w:r>
          </w:p>
        </w:tc>
      </w:tr>
      <w:tr w:rsidR="006B4BE2" w:rsidRPr="006B4BE2" w:rsidTr="00FF7247">
        <w:trPr>
          <w:trHeight w:val="144"/>
        </w:trPr>
        <w:tc>
          <w:tcPr>
            <w:tcW w:w="616" w:type="dxa"/>
            <w:tcBorders>
              <w:top w:val="nil"/>
              <w:left w:val="nil"/>
              <w:bottom w:val="single" w:sz="12"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c>
          <w:tcPr>
            <w:tcW w:w="1384" w:type="dxa"/>
            <w:tcBorders>
              <w:top w:val="nil"/>
              <w:left w:val="nil"/>
              <w:bottom w:val="single" w:sz="12" w:space="0" w:color="auto"/>
              <w:right w:val="nil"/>
            </w:tcBorders>
            <w:noWrap/>
            <w:vAlign w:val="center"/>
          </w:tcPr>
          <w:p w:rsidR="006B4BE2" w:rsidRPr="006B4BE2" w:rsidRDefault="006B4BE2" w:rsidP="006B4BE2">
            <w:pPr>
              <w:spacing w:after="0" w:line="240" w:lineRule="auto"/>
              <w:jc w:val="center"/>
              <w:rPr>
                <w:rFonts w:ascii="STIX MathJax Main" w:eastAsia="Times New Roman" w:hAnsi="STIX MathJax Main" w:cs="STIX MathJax Main"/>
                <w:sz w:val="18"/>
                <w:szCs w:val="20"/>
              </w:rPr>
            </w:pPr>
            <w:r w:rsidRPr="006B4BE2">
              <w:rPr>
                <w:rFonts w:ascii="STIX" w:eastAsia="Times New Roman" w:hAnsi="STIX" w:cs="STIX MathJax Main"/>
                <w:sz w:val="18"/>
                <w:szCs w:val="20"/>
              </w:rPr>
              <w:t>0.004115226</w:t>
            </w:r>
          </w:p>
        </w:tc>
      </w:tr>
    </w:tbl>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t xml:space="preserve">For </w:t>
      </w:r>
      <w:r w:rsidRPr="006B4BE2">
        <w:rPr>
          <w:rFonts w:ascii="STIX" w:eastAsia="Times New Roman" w:hAnsi="STIX"/>
          <w:i/>
          <w:sz w:val="20"/>
          <w:szCs w:val="24"/>
        </w:rPr>
        <w:t>h</w:t>
      </w:r>
      <w:r w:rsidRPr="006B4BE2">
        <w:rPr>
          <w:rFonts w:ascii="STIX" w:eastAsia="Times New Roman" w:hAnsi="STIX"/>
          <w:sz w:val="20"/>
          <w:szCs w:val="24"/>
        </w:rPr>
        <w:t xml:space="preserve"> </w:t>
      </w:r>
      <w:r w:rsidRPr="006B4BE2">
        <w:rPr>
          <w:rFonts w:ascii="Courier New" w:eastAsia="Times New Roman" w:hAnsi="Courier New"/>
          <w:sz w:val="20"/>
          <w:szCs w:val="24"/>
        </w:rPr>
        <w:t>=</w:t>
      </w:r>
      <w:r w:rsidRPr="006B4BE2">
        <w:rPr>
          <w:rFonts w:ascii="STIX" w:eastAsia="Times New Roman" w:hAnsi="STIX"/>
          <w:sz w:val="20"/>
          <w:szCs w:val="24"/>
        </w:rPr>
        <w:t xml:space="preserve"> 0.1, the solution is also stable and tracks closer to the analytical solution.</w:t>
      </w:r>
    </w:p>
    <w:p w:rsidR="006B4BE2" w:rsidRPr="006B4BE2" w:rsidRDefault="006B4BE2" w:rsidP="006B4BE2">
      <w:pPr>
        <w:spacing w:after="0" w:line="240" w:lineRule="auto"/>
        <w:rPr>
          <w:rFonts w:ascii="STIX" w:eastAsia="Times New Roman" w:hAnsi="STIX"/>
          <w:sz w:val="20"/>
          <w:szCs w:val="24"/>
        </w:rPr>
      </w:pPr>
    </w:p>
    <w:tbl>
      <w:tblPr>
        <w:tblW w:w="2320" w:type="dxa"/>
        <w:tblInd w:w="93" w:type="dxa"/>
        <w:tblLook w:val="04A0"/>
      </w:tblPr>
      <w:tblGrid>
        <w:gridCol w:w="960"/>
        <w:gridCol w:w="1360"/>
      </w:tblGrid>
      <w:tr w:rsidR="006B4BE2" w:rsidRPr="006B4BE2" w:rsidTr="00FF7247">
        <w:trPr>
          <w:trHeight w:val="144"/>
        </w:trPr>
        <w:tc>
          <w:tcPr>
            <w:tcW w:w="960" w:type="dxa"/>
            <w:tcBorders>
              <w:top w:val="single" w:sz="4" w:space="0" w:color="auto"/>
              <w:left w:val="nil"/>
              <w:bottom w:val="single" w:sz="4" w:space="0" w:color="auto"/>
              <w:right w:val="nil"/>
            </w:tcBorders>
            <w:noWrap/>
            <w:vAlign w:val="center"/>
            <w:hideMark/>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t</w:t>
            </w:r>
          </w:p>
        </w:tc>
        <w:tc>
          <w:tcPr>
            <w:tcW w:w="1360" w:type="dxa"/>
            <w:tcBorders>
              <w:top w:val="single" w:sz="4" w:space="0" w:color="auto"/>
              <w:left w:val="nil"/>
              <w:bottom w:val="single" w:sz="4" w:space="0" w:color="auto"/>
              <w:right w:val="nil"/>
            </w:tcBorders>
            <w:noWrap/>
            <w:vAlign w:val="center"/>
            <w:hideMark/>
          </w:tcPr>
          <w:p w:rsidR="006B4BE2" w:rsidRPr="006B4BE2" w:rsidRDefault="006B4BE2" w:rsidP="006B4BE2">
            <w:pPr>
              <w:spacing w:after="0" w:line="240" w:lineRule="auto"/>
              <w:jc w:val="center"/>
              <w:rPr>
                <w:rFonts w:ascii="STIX MathJax Main" w:eastAsia="Times New Roman" w:hAnsi="STIX MathJax Main" w:cs="STIX MathJax Main"/>
                <w:b/>
                <w:i/>
                <w:sz w:val="18"/>
                <w:szCs w:val="20"/>
              </w:rPr>
            </w:pPr>
            <w:r w:rsidRPr="006B4BE2">
              <w:rPr>
                <w:rFonts w:ascii="STIX" w:eastAsia="Times New Roman" w:hAnsi="STIX" w:cs="STIX MathJax Main"/>
                <w:b/>
                <w:i/>
                <w:sz w:val="18"/>
                <w:szCs w:val="20"/>
              </w:rPr>
              <w:t>y</w:t>
            </w:r>
          </w:p>
        </w:tc>
      </w:tr>
      <w:tr w:rsidR="006B4BE2" w:rsidRPr="006B4BE2" w:rsidTr="00FF7247">
        <w:trPr>
          <w:trHeight w:val="144"/>
        </w:trPr>
        <w:tc>
          <w:tcPr>
            <w:tcW w:w="960" w:type="dxa"/>
            <w:tcBorders>
              <w:top w:val="single" w:sz="4" w:space="0" w:color="auto"/>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w:t>
            </w:r>
          </w:p>
        </w:tc>
        <w:tc>
          <w:tcPr>
            <w:tcW w:w="1360" w:type="dxa"/>
            <w:tcBorders>
              <w:top w:val="single" w:sz="4" w:space="0" w:color="auto"/>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0.1</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0.2</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0.25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0.3</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0.125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0.4</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0.0625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0.5</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0.03125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0.6</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0.015625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0.7</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0.0078125</w:t>
            </w:r>
          </w:p>
        </w:tc>
      </w:tr>
      <w:tr w:rsidR="006B4BE2" w:rsidRPr="006B4BE2" w:rsidTr="00FF7247">
        <w:trPr>
          <w:trHeight w:val="144"/>
        </w:trPr>
        <w:tc>
          <w:tcPr>
            <w:tcW w:w="9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0.8</w:t>
            </w:r>
          </w:p>
        </w:tc>
        <w:tc>
          <w:tcPr>
            <w:tcW w:w="1360" w:type="dxa"/>
            <w:tcBorders>
              <w:top w:val="nil"/>
              <w:left w:val="nil"/>
              <w:bottom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0.00390625</w:t>
            </w:r>
          </w:p>
        </w:tc>
      </w:tr>
      <w:tr w:rsidR="006B4BE2" w:rsidRPr="006B4BE2" w:rsidTr="00FF7247">
        <w:trPr>
          <w:trHeight w:val="144"/>
        </w:trPr>
        <w:tc>
          <w:tcPr>
            <w:tcW w:w="960" w:type="dxa"/>
            <w:tcBorders>
              <w:top w:val="nil"/>
              <w:left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0.9</w:t>
            </w:r>
          </w:p>
        </w:tc>
        <w:tc>
          <w:tcPr>
            <w:tcW w:w="1360" w:type="dxa"/>
            <w:tcBorders>
              <w:top w:val="nil"/>
              <w:left w:val="nil"/>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0.001953125</w:t>
            </w:r>
          </w:p>
        </w:tc>
      </w:tr>
      <w:tr w:rsidR="006B4BE2" w:rsidRPr="006B4BE2" w:rsidTr="00FF7247">
        <w:trPr>
          <w:trHeight w:val="144"/>
        </w:trPr>
        <w:tc>
          <w:tcPr>
            <w:tcW w:w="960" w:type="dxa"/>
            <w:tcBorders>
              <w:top w:val="nil"/>
              <w:left w:val="nil"/>
              <w:bottom w:val="single" w:sz="4" w:space="0" w:color="auto"/>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1</w:t>
            </w:r>
          </w:p>
        </w:tc>
        <w:tc>
          <w:tcPr>
            <w:tcW w:w="1360" w:type="dxa"/>
            <w:tcBorders>
              <w:top w:val="nil"/>
              <w:left w:val="nil"/>
              <w:bottom w:val="single" w:sz="4" w:space="0" w:color="auto"/>
              <w:right w:val="nil"/>
            </w:tcBorders>
            <w:noWrap/>
            <w:vAlign w:val="center"/>
            <w:hideMark/>
          </w:tcPr>
          <w:p w:rsidR="006B4BE2" w:rsidRPr="006B4BE2" w:rsidRDefault="006B4BE2" w:rsidP="006B4BE2">
            <w:pPr>
              <w:spacing w:after="0" w:line="240" w:lineRule="auto"/>
              <w:jc w:val="right"/>
              <w:rPr>
                <w:rFonts w:ascii="STIX MathJax Main" w:eastAsia="Times New Roman" w:hAnsi="STIX MathJax Main" w:cs="STIX MathJax Main"/>
                <w:sz w:val="18"/>
                <w:szCs w:val="20"/>
              </w:rPr>
            </w:pPr>
            <w:r w:rsidRPr="006B4BE2">
              <w:rPr>
                <w:rFonts w:ascii="STIX" w:eastAsia="Times New Roman" w:hAnsi="STIX" w:cs="STIX MathJax Main"/>
                <w:sz w:val="18"/>
                <w:szCs w:val="20"/>
              </w:rPr>
              <w:t>0.000976563</w:t>
            </w:r>
          </w:p>
        </w:tc>
      </w:tr>
    </w:tbl>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t xml:space="preserve"> Both results are displayed along with the analytical solution below:</w:t>
      </w:r>
    </w:p>
    <w:p w:rsidR="006B4BE2" w:rsidRPr="006B4BE2" w:rsidRDefault="006B4BE2" w:rsidP="006B4BE2">
      <w:pPr>
        <w:spacing w:after="0" w:line="240" w:lineRule="auto"/>
        <w:rPr>
          <w:rFonts w:ascii="STIX" w:eastAsia="Times New Roman" w:hAnsi="STIX"/>
          <w:sz w:val="20"/>
          <w:szCs w:val="24"/>
        </w:rPr>
      </w:pPr>
    </w:p>
    <w:p w:rsidR="006B4BE2" w:rsidRPr="006B4BE2" w:rsidRDefault="006B4BE2" w:rsidP="006B4BE2">
      <w:pPr>
        <w:spacing w:after="0" w:line="240" w:lineRule="auto"/>
        <w:rPr>
          <w:rFonts w:ascii="STIX" w:eastAsia="Times New Roman" w:hAnsi="STIX"/>
          <w:sz w:val="20"/>
          <w:szCs w:val="24"/>
        </w:rPr>
      </w:pPr>
      <w:r w:rsidRPr="006B4BE2">
        <w:rPr>
          <w:rFonts w:ascii="STIX" w:eastAsia="Times New Roman" w:hAnsi="STIX"/>
          <w:sz w:val="20"/>
          <w:szCs w:val="24"/>
        </w:rPr>
        <w:drawing>
          <wp:inline distT="0" distB="0" distL="0" distR="0">
            <wp:extent cx="3183255" cy="1155700"/>
            <wp:effectExtent l="19050" t="0" r="0" b="0"/>
            <wp:docPr id="2983"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cstate="print"/>
                    <a:srcRect/>
                    <a:stretch>
                      <a:fillRect/>
                    </a:stretch>
                  </pic:blipFill>
                  <pic:spPr bwMode="auto">
                    <a:xfrm>
                      <a:off x="0" y="0"/>
                      <a:ext cx="3183255" cy="1155700"/>
                    </a:xfrm>
                    <a:prstGeom prst="rect">
                      <a:avLst/>
                    </a:prstGeom>
                    <a:noFill/>
                    <a:ln w="9525">
                      <a:noFill/>
                      <a:miter lim="800000"/>
                      <a:headEnd/>
                      <a:tailEnd/>
                    </a:ln>
                  </pic:spPr>
                </pic:pic>
              </a:graphicData>
            </a:graphic>
          </wp:inline>
        </w:drawing>
      </w:r>
    </w:p>
    <w:p w:rsidR="0024360D" w:rsidRPr="0024360D" w:rsidRDefault="0024360D" w:rsidP="006B4BE2">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AD47A-6A96-4BA4-8191-37655F972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2017-04-01T15:27:00Z</dcterms:created>
  <dcterms:modified xsi:type="dcterms:W3CDTF">2017-04-01T15:27:00Z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