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D22904" w:rsidRDefault="00512B6C" w:rsidP="00D22904">
      <w:pPr>
        <w:pStyle w:val="Default"/>
        <w:ind w:right="-450"/>
        <w:rPr>
          <w:b/>
        </w:rPr>
      </w:pPr>
      <w:r w:rsidRPr="00D22904">
        <w:rPr>
          <w:b/>
        </w:rPr>
        <w:t xml:space="preserve">Problem </w:t>
      </w:r>
      <w:r w:rsidR="00677803" w:rsidRPr="00D22904">
        <w:rPr>
          <w:b/>
        </w:rPr>
        <w:t>2</w:t>
      </w:r>
      <w:r w:rsidR="00D22904" w:rsidRPr="00D22904">
        <w:rPr>
          <w:b/>
        </w:rPr>
        <w:t>4.20</w:t>
      </w:r>
    </w:p>
    <w:p w:rsidR="00D22904" w:rsidRPr="00D22904" w:rsidRDefault="00D22904" w:rsidP="00D22904">
      <w:pPr>
        <w:autoSpaceDE w:val="0"/>
        <w:autoSpaceDN w:val="0"/>
        <w:adjustRightInd w:val="0"/>
        <w:spacing w:after="0" w:line="240" w:lineRule="auto"/>
        <w:rPr>
          <w:rFonts w:ascii="STIX" w:hAnsi="STIX" w:cs="STIX"/>
          <w:color w:val="000000"/>
          <w:sz w:val="24"/>
          <w:szCs w:val="24"/>
        </w:rPr>
      </w:pPr>
    </w:p>
    <w:p w:rsidR="00D22904" w:rsidRPr="00D22904" w:rsidRDefault="00D22904" w:rsidP="00D22904">
      <w:pPr>
        <w:autoSpaceDE w:val="0"/>
        <w:autoSpaceDN w:val="0"/>
        <w:adjustRightInd w:val="0"/>
        <w:spacing w:after="0" w:line="180" w:lineRule="atLeast"/>
        <w:rPr>
          <w:rFonts w:ascii="STIX" w:hAnsi="STIX" w:cs="STIX"/>
          <w:color w:val="221E1F"/>
          <w:sz w:val="24"/>
          <w:szCs w:val="18"/>
        </w:rPr>
      </w:pPr>
      <w:r w:rsidRPr="00D22904">
        <w:rPr>
          <w:rFonts w:ascii="STIX" w:hAnsi="STIX" w:cs="STIX"/>
          <w:color w:val="221E1F"/>
          <w:sz w:val="24"/>
          <w:szCs w:val="18"/>
        </w:rPr>
        <w:t>Just as Fourier’s law and the heat balance can be employed to characterize temperature distribution, analo</w:t>
      </w:r>
      <w:r w:rsidRPr="00D22904">
        <w:rPr>
          <w:rFonts w:ascii="STIX" w:hAnsi="STIX" w:cs="STIX"/>
          <w:color w:val="221E1F"/>
          <w:sz w:val="24"/>
          <w:szCs w:val="18"/>
        </w:rPr>
        <w:softHyphen/>
        <w:t>gous relationships are available to model field problems in other areas of engineering. For example, electrical engi</w:t>
      </w:r>
      <w:r w:rsidRPr="00D22904">
        <w:rPr>
          <w:rFonts w:ascii="STIX" w:hAnsi="STIX" w:cs="STIX"/>
          <w:color w:val="221E1F"/>
          <w:sz w:val="24"/>
          <w:szCs w:val="18"/>
        </w:rPr>
        <w:softHyphen/>
        <w:t>neers use a similar approach when modeling electrostatic fields. Under a number of simplifying assumptions, an ana</w:t>
      </w:r>
      <w:r w:rsidRPr="00D22904">
        <w:rPr>
          <w:rFonts w:ascii="STIX" w:hAnsi="STIX" w:cs="STIX"/>
          <w:color w:val="221E1F"/>
          <w:sz w:val="24"/>
          <w:szCs w:val="18"/>
        </w:rPr>
        <w:softHyphen/>
        <w:t xml:space="preserve">log of Fourier’s law can be represented in one-dimensional form as </w:t>
      </w:r>
    </w:p>
    <w:p w:rsidR="00D22904" w:rsidRDefault="00D22904" w:rsidP="00D22904">
      <w:pPr>
        <w:autoSpaceDE w:val="0"/>
        <w:autoSpaceDN w:val="0"/>
        <w:adjustRightInd w:val="0"/>
        <w:spacing w:after="0" w:line="180" w:lineRule="atLeast"/>
        <w:jc w:val="center"/>
        <w:rPr>
          <w:rFonts w:ascii="STIX" w:hAnsi="STIX" w:cs="STIX"/>
          <w:color w:val="221E1F"/>
          <w:sz w:val="24"/>
          <w:szCs w:val="18"/>
        </w:rPr>
      </w:pPr>
      <w:r w:rsidRPr="00D22904">
        <w:rPr>
          <w:rFonts w:ascii="STIX" w:hAnsi="STIX" w:cs="STIX"/>
          <w:color w:val="221E1F"/>
          <w:position w:val="-24"/>
          <w:sz w:val="24"/>
          <w:szCs w:val="18"/>
        </w:rPr>
        <w:object w:dxaOrig="14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2.25pt" o:ole="">
            <v:imagedata r:id="rId7" o:title=""/>
          </v:shape>
          <o:OLEObject Type="Embed" ProgID="Equation.DSMT4" ShapeID="_x0000_i1025" DrawAspect="Content" ObjectID="_1552653334" r:id="rId8"/>
        </w:object>
      </w:r>
      <w:r>
        <w:rPr>
          <w:rFonts w:ascii="STIX" w:hAnsi="STIX" w:cs="STIX"/>
          <w:color w:val="221E1F"/>
          <w:sz w:val="24"/>
          <w:szCs w:val="18"/>
        </w:rPr>
        <w:t xml:space="preserve"> </w:t>
      </w:r>
    </w:p>
    <w:p w:rsidR="00D22904" w:rsidRPr="00D22904" w:rsidRDefault="00D22904" w:rsidP="00D22904">
      <w:pPr>
        <w:autoSpaceDE w:val="0"/>
        <w:autoSpaceDN w:val="0"/>
        <w:adjustRightInd w:val="0"/>
        <w:spacing w:after="0" w:line="180" w:lineRule="atLeast"/>
        <w:rPr>
          <w:rFonts w:ascii="STIX" w:hAnsi="STIX" w:cs="STIX"/>
          <w:color w:val="221E1F"/>
          <w:sz w:val="24"/>
          <w:szCs w:val="18"/>
        </w:rPr>
      </w:pPr>
      <w:r w:rsidRPr="00D22904">
        <w:rPr>
          <w:rFonts w:ascii="STIX" w:hAnsi="STIX" w:cs="STIX"/>
          <w:color w:val="221E1F"/>
          <w:sz w:val="24"/>
          <w:szCs w:val="18"/>
        </w:rPr>
        <w:t xml:space="preserve">where </w:t>
      </w:r>
      <w:r w:rsidRPr="00D22904">
        <w:rPr>
          <w:rFonts w:ascii="STIX" w:hAnsi="STIX" w:cs="STIX"/>
          <w:i/>
          <w:iCs/>
          <w:color w:val="221E1F"/>
          <w:sz w:val="24"/>
          <w:szCs w:val="18"/>
        </w:rPr>
        <w:t xml:space="preserve">D </w:t>
      </w:r>
      <w:r w:rsidRPr="00D22904">
        <w:rPr>
          <w:rFonts w:ascii="STIX" w:hAnsi="STIX" w:cs="STIX"/>
          <w:color w:val="221E1F"/>
          <w:sz w:val="24"/>
          <w:szCs w:val="18"/>
        </w:rPr>
        <w:t xml:space="preserve">is called the electric flux density vector, </w:t>
      </w:r>
      <w:r w:rsidRPr="00D22904">
        <w:rPr>
          <w:rFonts w:ascii="STIX" w:hAnsi="STIX" w:cs="STIX"/>
          <w:i/>
          <w:iCs/>
          <w:color w:val="221E1F"/>
          <w:sz w:val="24"/>
          <w:szCs w:val="18"/>
        </w:rPr>
        <w:t xml:space="preserve">ε </w:t>
      </w:r>
      <w:r w:rsidRPr="00D22904">
        <w:rPr>
          <w:rFonts w:ascii="STIX" w:hAnsi="STIX" w:cs="STIX"/>
          <w:color w:val="221E1F"/>
          <w:sz w:val="24"/>
          <w:szCs w:val="18"/>
        </w:rPr>
        <w:t>= permit</w:t>
      </w:r>
      <w:r w:rsidRPr="00D22904">
        <w:rPr>
          <w:rFonts w:ascii="STIX" w:hAnsi="STIX" w:cs="STIX"/>
          <w:color w:val="221E1F"/>
          <w:sz w:val="24"/>
          <w:szCs w:val="18"/>
        </w:rPr>
        <w:softHyphen/>
        <w:t xml:space="preserve">tivity of the material, and </w:t>
      </w:r>
      <w:r w:rsidRPr="00D22904">
        <w:rPr>
          <w:rFonts w:ascii="STIX" w:hAnsi="STIX" w:cs="STIX"/>
          <w:i/>
          <w:iCs/>
          <w:color w:val="221E1F"/>
          <w:sz w:val="24"/>
          <w:szCs w:val="18"/>
        </w:rPr>
        <w:t>V</w:t>
      </w:r>
      <w:r>
        <w:rPr>
          <w:rFonts w:ascii="STIX" w:hAnsi="STIX" w:cs="STIX"/>
          <w:i/>
          <w:iCs/>
          <w:color w:val="221E1F"/>
          <w:sz w:val="24"/>
          <w:szCs w:val="18"/>
        </w:rPr>
        <w:t> </w:t>
      </w:r>
      <w:r w:rsidRPr="00D22904">
        <w:rPr>
          <w:rFonts w:ascii="STIX" w:hAnsi="STIX" w:cs="STIX"/>
          <w:color w:val="221E1F"/>
          <w:sz w:val="24"/>
          <w:szCs w:val="18"/>
        </w:rPr>
        <w:t>=</w:t>
      </w:r>
      <w:r>
        <w:rPr>
          <w:rFonts w:ascii="STIX" w:hAnsi="STIX" w:cs="STIX"/>
          <w:color w:val="221E1F"/>
          <w:sz w:val="24"/>
          <w:szCs w:val="18"/>
        </w:rPr>
        <w:t> </w:t>
      </w:r>
      <w:r w:rsidRPr="00D22904">
        <w:rPr>
          <w:rFonts w:ascii="STIX" w:hAnsi="STIX" w:cs="STIX"/>
          <w:color w:val="221E1F"/>
          <w:sz w:val="24"/>
          <w:szCs w:val="18"/>
        </w:rPr>
        <w:t>electrostatic potential. Simi</w:t>
      </w:r>
      <w:r w:rsidRPr="00D22904">
        <w:rPr>
          <w:rFonts w:ascii="STIX" w:hAnsi="STIX" w:cs="STIX"/>
          <w:color w:val="221E1F"/>
          <w:sz w:val="24"/>
          <w:szCs w:val="18"/>
        </w:rPr>
        <w:softHyphen/>
        <w:t xml:space="preserve">larly, a Poisson equation (see Prob. 24.8) for electrostatic fields can be represented in one dimension as </w:t>
      </w:r>
    </w:p>
    <w:p w:rsidR="00D22904" w:rsidRDefault="00D22904" w:rsidP="00D22904">
      <w:pPr>
        <w:autoSpaceDE w:val="0"/>
        <w:autoSpaceDN w:val="0"/>
        <w:adjustRightInd w:val="0"/>
        <w:spacing w:after="0" w:line="240" w:lineRule="auto"/>
        <w:jc w:val="center"/>
        <w:rPr>
          <w:rFonts w:ascii="STIX" w:hAnsi="STIX" w:cs="STIX"/>
          <w:color w:val="221E1F"/>
          <w:sz w:val="24"/>
          <w:szCs w:val="18"/>
        </w:rPr>
      </w:pPr>
      <w:r w:rsidRPr="00D22904">
        <w:rPr>
          <w:rFonts w:ascii="STIX" w:hAnsi="STIX" w:cs="STIX"/>
          <w:color w:val="221E1F"/>
          <w:position w:val="-24"/>
          <w:sz w:val="24"/>
          <w:szCs w:val="18"/>
        </w:rPr>
        <w:object w:dxaOrig="1359" w:dyaOrig="660">
          <v:shape id="_x0000_i1026" type="#_x0000_t75" style="width:68.25pt;height:33pt" o:ole="">
            <v:imagedata r:id="rId9" o:title=""/>
          </v:shape>
          <o:OLEObject Type="Embed" ProgID="Equation.DSMT4" ShapeID="_x0000_i1026" DrawAspect="Content" ObjectID="_1552653335" r:id="rId10"/>
        </w:object>
      </w:r>
      <w:r>
        <w:rPr>
          <w:rFonts w:ascii="STIX" w:hAnsi="STIX" w:cs="STIX"/>
          <w:color w:val="221E1F"/>
          <w:sz w:val="24"/>
          <w:szCs w:val="18"/>
        </w:rPr>
        <w:t xml:space="preserve"> </w:t>
      </w:r>
    </w:p>
    <w:p w:rsidR="00D22904" w:rsidRDefault="00D22904" w:rsidP="00D22904">
      <w:pPr>
        <w:autoSpaceDE w:val="0"/>
        <w:autoSpaceDN w:val="0"/>
        <w:adjustRightInd w:val="0"/>
        <w:spacing w:after="0" w:line="240" w:lineRule="auto"/>
        <w:rPr>
          <w:rFonts w:ascii="STIX" w:hAnsi="STIX" w:cs="STIX"/>
          <w:color w:val="221E1F"/>
          <w:sz w:val="24"/>
          <w:szCs w:val="18"/>
        </w:rPr>
      </w:pPr>
    </w:p>
    <w:p w:rsidR="00443F56" w:rsidRDefault="00D22904" w:rsidP="00D22904">
      <w:pPr>
        <w:autoSpaceDE w:val="0"/>
        <w:autoSpaceDN w:val="0"/>
        <w:adjustRightInd w:val="0"/>
        <w:spacing w:after="0" w:line="240" w:lineRule="auto"/>
        <w:rPr>
          <w:rFonts w:ascii="STIX" w:hAnsi="STIX" w:cs="STIX"/>
          <w:color w:val="221E1F"/>
          <w:sz w:val="24"/>
          <w:szCs w:val="18"/>
        </w:rPr>
      </w:pPr>
      <w:r w:rsidRPr="00D22904">
        <w:rPr>
          <w:rFonts w:ascii="STIX" w:hAnsi="STIX" w:cs="STIX"/>
          <w:color w:val="221E1F"/>
          <w:sz w:val="24"/>
          <w:szCs w:val="18"/>
        </w:rPr>
        <w:t xml:space="preserve">where </w:t>
      </w:r>
      <w:r w:rsidRPr="00D22904">
        <w:rPr>
          <w:rFonts w:ascii="STIX" w:hAnsi="STIX" w:cs="STIX"/>
          <w:i/>
          <w:iCs/>
          <w:color w:val="221E1F"/>
          <w:sz w:val="24"/>
          <w:szCs w:val="18"/>
        </w:rPr>
        <w:t>ρ</w:t>
      </w:r>
      <w:r w:rsidRPr="00D22904">
        <w:rPr>
          <w:rFonts w:ascii="STIX" w:hAnsi="STIX" w:cs="STIX"/>
          <w:i/>
          <w:iCs/>
          <w:color w:val="221E1F"/>
          <w:sz w:val="32"/>
          <w:vertAlign w:val="subscript"/>
        </w:rPr>
        <w:t>υ</w:t>
      </w:r>
      <w:r w:rsidRPr="00D22904">
        <w:rPr>
          <w:rFonts w:ascii="STIX" w:hAnsi="STIX" w:cs="STIX"/>
          <w:i/>
          <w:iCs/>
          <w:color w:val="221E1F"/>
          <w:sz w:val="24"/>
        </w:rPr>
        <w:t xml:space="preserve"> </w:t>
      </w:r>
      <w:r w:rsidRPr="00D22904">
        <w:rPr>
          <w:rFonts w:ascii="STIX" w:hAnsi="STIX" w:cs="STIX"/>
          <w:color w:val="221E1F"/>
          <w:sz w:val="24"/>
          <w:szCs w:val="18"/>
        </w:rPr>
        <w:t>= charge density. Use the finite-difference tech</w:t>
      </w:r>
      <w:r w:rsidRPr="00D22904">
        <w:rPr>
          <w:rFonts w:ascii="STIX" w:hAnsi="STIX" w:cs="STIX"/>
          <w:color w:val="221E1F"/>
          <w:sz w:val="24"/>
          <w:szCs w:val="18"/>
        </w:rPr>
        <w:softHyphen/>
        <w:t xml:space="preserve">nique with Δ </w:t>
      </w:r>
      <w:r w:rsidRPr="00D22904">
        <w:rPr>
          <w:rFonts w:ascii="STIX" w:hAnsi="STIX" w:cs="STIX"/>
          <w:i/>
          <w:iCs/>
          <w:color w:val="221E1F"/>
          <w:sz w:val="24"/>
          <w:szCs w:val="18"/>
        </w:rPr>
        <w:t xml:space="preserve">x </w:t>
      </w:r>
      <w:r w:rsidRPr="00D22904">
        <w:rPr>
          <w:rFonts w:ascii="STIX" w:hAnsi="STIX" w:cs="STIX"/>
          <w:color w:val="221E1F"/>
          <w:sz w:val="24"/>
          <w:szCs w:val="18"/>
        </w:rPr>
        <w:t xml:space="preserve">= 2 to determine </w:t>
      </w:r>
      <w:r w:rsidRPr="00D22904">
        <w:rPr>
          <w:rFonts w:ascii="STIX" w:hAnsi="STIX" w:cs="STIX"/>
          <w:i/>
          <w:iCs/>
          <w:color w:val="221E1F"/>
          <w:sz w:val="24"/>
          <w:szCs w:val="18"/>
        </w:rPr>
        <w:t xml:space="preserve">V </w:t>
      </w:r>
      <w:r w:rsidRPr="00D22904">
        <w:rPr>
          <w:rFonts w:ascii="STIX" w:hAnsi="STIX" w:cs="STIX"/>
          <w:color w:val="221E1F"/>
          <w:sz w:val="24"/>
          <w:szCs w:val="18"/>
        </w:rPr>
        <w:t xml:space="preserve">for a wire where </w:t>
      </w:r>
      <w:r w:rsidRPr="00D22904">
        <w:rPr>
          <w:rFonts w:ascii="STIX" w:hAnsi="STIX" w:cs="STIX"/>
          <w:i/>
          <w:iCs/>
          <w:color w:val="221E1F"/>
          <w:sz w:val="24"/>
          <w:szCs w:val="18"/>
        </w:rPr>
        <w:t>V</w:t>
      </w:r>
      <w:r w:rsidRPr="00D22904">
        <w:rPr>
          <w:rFonts w:ascii="STIX" w:hAnsi="STIX" w:cs="STIX"/>
          <w:color w:val="221E1F"/>
          <w:sz w:val="24"/>
          <w:szCs w:val="18"/>
        </w:rPr>
        <w:t xml:space="preserve">(0) = 1000, </w:t>
      </w:r>
      <w:r w:rsidRPr="00D22904">
        <w:rPr>
          <w:rFonts w:ascii="STIX" w:hAnsi="STIX" w:cs="STIX"/>
          <w:i/>
          <w:iCs/>
          <w:color w:val="221E1F"/>
          <w:sz w:val="24"/>
          <w:szCs w:val="18"/>
        </w:rPr>
        <w:t>V</w:t>
      </w:r>
      <w:r w:rsidRPr="00D22904">
        <w:rPr>
          <w:rFonts w:ascii="STIX" w:hAnsi="STIX" w:cs="STIX"/>
          <w:color w:val="221E1F"/>
          <w:sz w:val="24"/>
          <w:szCs w:val="18"/>
        </w:rPr>
        <w:t xml:space="preserve">(20) = 0, </w:t>
      </w:r>
      <w:r w:rsidRPr="00D22904">
        <w:rPr>
          <w:rFonts w:ascii="STIX" w:hAnsi="STIX" w:cs="STIX"/>
          <w:i/>
          <w:iCs/>
          <w:color w:val="221E1F"/>
          <w:sz w:val="24"/>
          <w:szCs w:val="18"/>
        </w:rPr>
        <w:t xml:space="preserve">ε </w:t>
      </w:r>
      <w:r w:rsidRPr="00D22904">
        <w:rPr>
          <w:rFonts w:ascii="STIX" w:hAnsi="STIX" w:cs="STIX"/>
          <w:color w:val="221E1F"/>
          <w:sz w:val="24"/>
          <w:szCs w:val="18"/>
        </w:rPr>
        <w:t xml:space="preserve">= 2, </w:t>
      </w:r>
      <w:r w:rsidRPr="00D22904">
        <w:rPr>
          <w:rFonts w:ascii="STIX" w:hAnsi="STIX" w:cs="STIX"/>
          <w:i/>
          <w:iCs/>
          <w:color w:val="221E1F"/>
          <w:sz w:val="24"/>
          <w:szCs w:val="18"/>
        </w:rPr>
        <w:t xml:space="preserve">L </w:t>
      </w:r>
      <w:r w:rsidRPr="00D22904">
        <w:rPr>
          <w:rFonts w:ascii="STIX" w:hAnsi="STIX" w:cs="STIX"/>
          <w:color w:val="221E1F"/>
          <w:sz w:val="24"/>
          <w:szCs w:val="18"/>
        </w:rPr>
        <w:t xml:space="preserve">= 20, and </w:t>
      </w:r>
      <w:r w:rsidRPr="00D22904">
        <w:rPr>
          <w:rFonts w:ascii="STIX" w:hAnsi="STIX" w:cs="STIX"/>
          <w:i/>
          <w:iCs/>
          <w:color w:val="221E1F"/>
          <w:sz w:val="24"/>
          <w:szCs w:val="18"/>
        </w:rPr>
        <w:t>ρ</w:t>
      </w:r>
      <w:r w:rsidRPr="00D22904">
        <w:rPr>
          <w:rFonts w:ascii="STIX" w:hAnsi="STIX" w:cs="STIX"/>
          <w:i/>
          <w:iCs/>
          <w:color w:val="221E1F"/>
          <w:sz w:val="32"/>
          <w:vertAlign w:val="subscript"/>
        </w:rPr>
        <w:t>υ</w:t>
      </w:r>
      <w:r w:rsidRPr="00D22904">
        <w:rPr>
          <w:rFonts w:ascii="STIX" w:hAnsi="STIX" w:cs="STIX"/>
          <w:i/>
          <w:iCs/>
          <w:color w:val="221E1F"/>
          <w:sz w:val="24"/>
        </w:rPr>
        <w:t xml:space="preserve"> </w:t>
      </w:r>
      <w:r w:rsidRPr="00D22904">
        <w:rPr>
          <w:rFonts w:ascii="STIX" w:hAnsi="STIX" w:cs="STIX"/>
          <w:color w:val="221E1F"/>
          <w:sz w:val="24"/>
          <w:szCs w:val="18"/>
        </w:rPr>
        <w:t xml:space="preserve">= 30. </w:t>
      </w:r>
    </w:p>
    <w:p w:rsidR="00D22904" w:rsidRDefault="00D22904" w:rsidP="00D22904">
      <w:pPr>
        <w:autoSpaceDE w:val="0"/>
        <w:autoSpaceDN w:val="0"/>
        <w:adjustRightInd w:val="0"/>
        <w:spacing w:after="0" w:line="240" w:lineRule="auto"/>
        <w:rPr>
          <w:rFonts w:ascii="STIX" w:hAnsi="STIX" w:cs="STIX"/>
          <w:color w:val="221E1F"/>
          <w:sz w:val="24"/>
          <w:szCs w:val="18"/>
        </w:rPr>
      </w:pPr>
    </w:p>
    <w:p w:rsidR="00D22904" w:rsidRDefault="00D22904" w:rsidP="00D22904">
      <w:pPr>
        <w:autoSpaceDE w:val="0"/>
        <w:autoSpaceDN w:val="0"/>
        <w:adjustRightInd w:val="0"/>
        <w:spacing w:after="0" w:line="240" w:lineRule="auto"/>
        <w:rPr>
          <w:rFonts w:ascii="STIX" w:hAnsi="STIX" w:cs="STIX"/>
          <w:color w:val="221E1F"/>
          <w:sz w:val="24"/>
          <w:szCs w:val="18"/>
        </w:rPr>
      </w:pPr>
    </w:p>
    <w:p w:rsidR="00D22904" w:rsidRPr="00D22904" w:rsidRDefault="00D22904" w:rsidP="00D22904">
      <w:pPr>
        <w:pStyle w:val="Default"/>
        <w:ind w:right="-450"/>
        <w:rPr>
          <w:b/>
          <w:i/>
        </w:rPr>
      </w:pPr>
      <w:r w:rsidRPr="00D22904">
        <w:rPr>
          <w:b/>
          <w:i/>
        </w:rPr>
        <w:t>Problem 24.8</w:t>
      </w:r>
    </w:p>
    <w:p w:rsidR="00D22904" w:rsidRPr="002A3335" w:rsidRDefault="00D22904" w:rsidP="00D22904">
      <w:pPr>
        <w:autoSpaceDE w:val="0"/>
        <w:autoSpaceDN w:val="0"/>
        <w:adjustRightInd w:val="0"/>
        <w:spacing w:after="0" w:line="240" w:lineRule="auto"/>
        <w:rPr>
          <w:rFonts w:ascii="STIX" w:hAnsi="STIX" w:cs="STIX"/>
          <w:color w:val="000000"/>
          <w:sz w:val="24"/>
          <w:szCs w:val="24"/>
        </w:rPr>
      </w:pPr>
    </w:p>
    <w:p w:rsidR="00D22904" w:rsidRDefault="00D22904" w:rsidP="00D22904">
      <w:pPr>
        <w:autoSpaceDE w:val="0"/>
        <w:autoSpaceDN w:val="0"/>
        <w:adjustRightInd w:val="0"/>
        <w:spacing w:after="0" w:line="180" w:lineRule="atLeast"/>
        <w:rPr>
          <w:rFonts w:ascii="STIX" w:hAnsi="STIX" w:cs="STIX"/>
          <w:color w:val="221E1F"/>
          <w:sz w:val="24"/>
          <w:szCs w:val="18"/>
        </w:rPr>
      </w:pPr>
      <w:r w:rsidRPr="002A3335">
        <w:rPr>
          <w:rFonts w:ascii="STIX" w:hAnsi="STIX" w:cs="STIX"/>
          <w:color w:val="221E1F"/>
          <w:sz w:val="24"/>
          <w:szCs w:val="18"/>
        </w:rPr>
        <w:t xml:space="preserve">An insulated heated rod with a uniform heat source can be modeled with the </w:t>
      </w:r>
      <w:r w:rsidRPr="002A3335">
        <w:rPr>
          <w:rFonts w:ascii="STIX" w:hAnsi="STIX" w:cs="STIX"/>
          <w:i/>
          <w:iCs/>
          <w:color w:val="221E1F"/>
          <w:sz w:val="24"/>
          <w:szCs w:val="18"/>
        </w:rPr>
        <w:t xml:space="preserve">Poisson equation: </w:t>
      </w:r>
    </w:p>
    <w:p w:rsidR="00D22904" w:rsidRDefault="00D22904" w:rsidP="00D22904">
      <w:pPr>
        <w:autoSpaceDE w:val="0"/>
        <w:autoSpaceDN w:val="0"/>
        <w:adjustRightInd w:val="0"/>
        <w:spacing w:after="0" w:line="180" w:lineRule="atLeast"/>
        <w:rPr>
          <w:rFonts w:ascii="STIX" w:hAnsi="STIX" w:cs="STIX"/>
          <w:color w:val="221E1F"/>
          <w:sz w:val="24"/>
          <w:szCs w:val="18"/>
        </w:rPr>
      </w:pPr>
    </w:p>
    <w:p w:rsidR="00D22904" w:rsidRPr="002A3335" w:rsidRDefault="00D22904" w:rsidP="00D22904">
      <w:pPr>
        <w:autoSpaceDE w:val="0"/>
        <w:autoSpaceDN w:val="0"/>
        <w:adjustRightInd w:val="0"/>
        <w:spacing w:after="0" w:line="180" w:lineRule="atLeast"/>
        <w:jc w:val="center"/>
        <w:rPr>
          <w:rFonts w:ascii="STIX" w:hAnsi="STIX" w:cs="STIX"/>
          <w:color w:val="221E1F"/>
          <w:sz w:val="24"/>
          <w:szCs w:val="24"/>
        </w:rPr>
      </w:pPr>
      <w:r w:rsidRPr="002A3335">
        <w:rPr>
          <w:color w:val="221E1F"/>
          <w:position w:val="-24"/>
        </w:rPr>
        <w:object w:dxaOrig="1579" w:dyaOrig="660">
          <v:shape id="_x0000_i1027" type="#_x0000_t75" style="width:78.75pt;height:33pt" o:ole="">
            <v:imagedata r:id="rId11" o:title=""/>
          </v:shape>
          <o:OLEObject Type="Embed" ProgID="Equation.DSMT4" ShapeID="_x0000_i1027" DrawAspect="Content" ObjectID="_1552653336" r:id="rId12"/>
        </w:object>
      </w:r>
      <w:r>
        <w:rPr>
          <w:color w:val="221E1F"/>
        </w:rPr>
        <w:t xml:space="preserve"> </w:t>
      </w:r>
    </w:p>
    <w:p w:rsidR="00D22904" w:rsidRPr="002A3335" w:rsidRDefault="00D22904" w:rsidP="00D22904">
      <w:pPr>
        <w:autoSpaceDE w:val="0"/>
        <w:autoSpaceDN w:val="0"/>
        <w:adjustRightInd w:val="0"/>
        <w:spacing w:after="0" w:line="240" w:lineRule="auto"/>
        <w:rPr>
          <w:rFonts w:ascii="STIX" w:hAnsi="STIX" w:cs="STIX"/>
          <w:color w:val="000000"/>
          <w:sz w:val="24"/>
          <w:szCs w:val="24"/>
        </w:rPr>
      </w:pPr>
    </w:p>
    <w:p w:rsidR="00D22904" w:rsidRDefault="00D22904" w:rsidP="00D22904">
      <w:pPr>
        <w:pStyle w:val="Default"/>
        <w:rPr>
          <w:color w:val="221E1F"/>
        </w:rPr>
      </w:pPr>
      <w:r w:rsidRPr="002A3335">
        <w:rPr>
          <w:color w:val="221E1F"/>
        </w:rPr>
        <w:t xml:space="preserve">Given a heat source </w:t>
      </w:r>
      <w:r w:rsidRPr="002A3335">
        <w:rPr>
          <w:i/>
          <w:iCs/>
          <w:color w:val="221E1F"/>
        </w:rPr>
        <w:t xml:space="preserve">f </w:t>
      </w:r>
      <w:r w:rsidRPr="002A3335">
        <w:rPr>
          <w:color w:val="221E1F"/>
        </w:rPr>
        <w:t>(</w:t>
      </w:r>
      <w:r w:rsidRPr="002A3335">
        <w:rPr>
          <w:i/>
          <w:iCs/>
          <w:color w:val="221E1F"/>
        </w:rPr>
        <w:t>x</w:t>
      </w:r>
      <w:r w:rsidRPr="002A3335">
        <w:rPr>
          <w:color w:val="221E1F"/>
        </w:rPr>
        <w:t>) = 25 °C/m</w:t>
      </w:r>
      <w:r w:rsidRPr="002A3335">
        <w:rPr>
          <w:color w:val="221E1F"/>
          <w:sz w:val="32"/>
          <w:vertAlign w:val="superscript"/>
        </w:rPr>
        <w:t>2</w:t>
      </w:r>
      <w:r w:rsidRPr="002A3335">
        <w:rPr>
          <w:color w:val="221E1F"/>
        </w:rPr>
        <w:t xml:space="preserve"> and the boundary con</w:t>
      </w:r>
      <w:r w:rsidRPr="002A3335">
        <w:rPr>
          <w:color w:val="221E1F"/>
        </w:rPr>
        <w:softHyphen/>
        <w:t xml:space="preserve">ditions </w:t>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0) = 40 °C and </w:t>
      </w:r>
      <w:r>
        <w:rPr>
          <w:color w:val="221E1F"/>
        </w:rPr>
        <w:br w:type="textWrapping" w:clear="all"/>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10) = 200 °C, solve for the temperature distribution with </w:t>
      </w:r>
    </w:p>
    <w:p w:rsidR="00D22904" w:rsidRDefault="00D22904" w:rsidP="00D22904">
      <w:pPr>
        <w:pStyle w:val="Default"/>
        <w:rPr>
          <w:color w:val="221E1F"/>
        </w:rPr>
      </w:pPr>
    </w:p>
    <w:p w:rsidR="00D22904" w:rsidRDefault="00D22904" w:rsidP="00D22904">
      <w:pPr>
        <w:pStyle w:val="Default"/>
        <w:rPr>
          <w:color w:val="221E1F"/>
        </w:rPr>
      </w:pPr>
      <w:r w:rsidRPr="002A3335">
        <w:rPr>
          <w:b/>
          <w:bCs/>
          <w:color w:val="221E1F"/>
        </w:rPr>
        <w:t xml:space="preserve">(a) </w:t>
      </w:r>
      <w:r w:rsidRPr="002A3335">
        <w:rPr>
          <w:color w:val="221E1F"/>
        </w:rPr>
        <w:t xml:space="preserve">the shooting method and </w:t>
      </w:r>
    </w:p>
    <w:p w:rsidR="00D22904" w:rsidRPr="002A3335" w:rsidRDefault="00D22904" w:rsidP="00D22904">
      <w:pPr>
        <w:pStyle w:val="Default"/>
      </w:pPr>
      <w:r w:rsidRPr="002A3335">
        <w:rPr>
          <w:b/>
          <w:bCs/>
          <w:color w:val="221E1F"/>
        </w:rPr>
        <w:t xml:space="preserve">(b) </w:t>
      </w:r>
      <w:r w:rsidRPr="002A3335">
        <w:rPr>
          <w:color w:val="221E1F"/>
        </w:rPr>
        <w:t xml:space="preserve">the finite-difference method (Δ </w:t>
      </w:r>
      <w:r w:rsidRPr="002A3335">
        <w:rPr>
          <w:i/>
          <w:iCs/>
          <w:color w:val="221E1F"/>
        </w:rPr>
        <w:t xml:space="preserve">x </w:t>
      </w:r>
      <w:r w:rsidRPr="002A3335">
        <w:rPr>
          <w:color w:val="221E1F"/>
        </w:rPr>
        <w:t xml:space="preserve">= 2). </w:t>
      </w:r>
    </w:p>
    <w:p w:rsidR="00D22904" w:rsidRPr="00057EBA" w:rsidRDefault="00D22904" w:rsidP="00D22904">
      <w:pPr>
        <w:autoSpaceDE w:val="0"/>
        <w:autoSpaceDN w:val="0"/>
        <w:adjustRightInd w:val="0"/>
        <w:spacing w:after="0" w:line="240" w:lineRule="auto"/>
        <w:rPr>
          <w:rFonts w:ascii="STIX" w:hAnsi="STIX" w:cs="STIX"/>
          <w:sz w:val="24"/>
          <w:szCs w:val="18"/>
        </w:rPr>
      </w:pPr>
    </w:p>
    <w:sectPr w:rsidR="00D22904" w:rsidRPr="00057EBA" w:rsidSect="009619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0432"/>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4682"/>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2017-03-21T16:34:00Z</dcterms:created>
  <dcterms:modified xsi:type="dcterms:W3CDTF">2017-04-02T21:49:00Z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