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E357EE">
        <w:rPr>
          <w:b/>
          <w:noProof/>
          <w:sz w:val="20"/>
          <w:szCs w:val="20"/>
        </w:rPr>
        <w:t>24.5</w:t>
      </w:r>
    </w:p>
    <w:p w:rsidR="005375C4" w:rsidRDefault="005375C4" w:rsidP="005375C4">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t xml:space="preserve">The linearized term can be substituted into Eq. (P24.5) to give </w: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position w:val="-24"/>
          <w:sz w:val="20"/>
          <w:szCs w:val="20"/>
        </w:rPr>
        <w:object w:dxaOrig="8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397" type="#_x0000_t75" style="width:434.25pt;height:33pt" o:ole="">
            <v:imagedata r:id="rId8" o:title=""/>
          </v:shape>
          <o:OLEObject Type="Embed" ProgID="Equation.DSMT4" ShapeID="_x0000_i8397" DrawAspect="Content" ObjectID="_1552647047" r:id="rId9"/>
        </w:objec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t>Collecting terms and substituting the parameter values gives</w: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0"/>
        </w:rPr>
      </w:pPr>
      <w:r w:rsidRPr="00E357EE">
        <w:rPr>
          <w:rFonts w:ascii="STIX" w:eastAsia="Times New Roman" w:hAnsi="STIX"/>
          <w:position w:val="-24"/>
          <w:sz w:val="20"/>
          <w:szCs w:val="20"/>
        </w:rPr>
        <w:object w:dxaOrig="2620" w:dyaOrig="660">
          <v:shape id="_x0000_i8398" type="#_x0000_t75" style="width:131.25pt;height:33pt" o:ole="">
            <v:imagedata r:id="rId10" o:title=""/>
          </v:shape>
          <o:OLEObject Type="Embed" ProgID="Equation.DSMT4" ShapeID="_x0000_i8398" DrawAspect="Content" ObjectID="_1552647048" r:id="rId11"/>
        </w:objec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t>A centered-difference can be substituted for the derivative to give</w: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0"/>
        </w:rPr>
      </w:pPr>
      <w:r w:rsidRPr="00E357EE">
        <w:rPr>
          <w:rFonts w:ascii="STIX" w:eastAsia="Times New Roman" w:hAnsi="STIX"/>
          <w:position w:val="-24"/>
          <w:sz w:val="20"/>
          <w:szCs w:val="20"/>
        </w:rPr>
        <w:object w:dxaOrig="3600" w:dyaOrig="660">
          <v:shape id="_x0000_i8399" type="#_x0000_t75" style="width:180pt;height:33pt" o:ole="">
            <v:imagedata r:id="rId12" o:title=""/>
          </v:shape>
          <o:OLEObject Type="Embed" ProgID="Equation.DSMT4" ShapeID="_x0000_i8399" DrawAspect="Content" ObjectID="_1552647049" r:id="rId13"/>
        </w:objec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t>Collecting terms yields,</w: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0"/>
        </w:rPr>
      </w:pPr>
      <w:r w:rsidRPr="00E357EE">
        <w:rPr>
          <w:rFonts w:ascii="STIX" w:eastAsia="Times New Roman" w:hAnsi="STIX"/>
          <w:position w:val="-12"/>
          <w:sz w:val="20"/>
          <w:szCs w:val="20"/>
        </w:rPr>
        <w:object w:dxaOrig="2880" w:dyaOrig="360">
          <v:shape id="_x0000_i8400" type="#_x0000_t75" style="width:2in;height:18pt" o:ole="">
            <v:imagedata r:id="rId14" o:title=""/>
          </v:shape>
          <o:OLEObject Type="Embed" ProgID="Equation.DSMT4" ShapeID="_x0000_i8400" DrawAspect="Content" ObjectID="_1552647050" r:id="rId15"/>
        </w:objec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t>This equation can be applied to each interior node and the resulting tridiagonal system solved for</w:t>
      </w:r>
    </w:p>
    <w:p w:rsidR="00E357EE" w:rsidRPr="00E357EE" w:rsidRDefault="00E357EE" w:rsidP="00E357EE">
      <w:pPr>
        <w:spacing w:after="0" w:line="240" w:lineRule="auto"/>
        <w:rPr>
          <w:rFonts w:ascii="STIX" w:eastAsia="Times New Roman" w:hAnsi="STIX"/>
          <w:i/>
          <w:sz w:val="20"/>
          <w:szCs w:val="24"/>
        </w:rPr>
      </w:pPr>
    </w:p>
    <w:tbl>
      <w:tblPr>
        <w:tblW w:w="1952" w:type="dxa"/>
        <w:tblInd w:w="108" w:type="dxa"/>
        <w:tblLook w:val="0000"/>
      </w:tblPr>
      <w:tblGrid>
        <w:gridCol w:w="976"/>
        <w:gridCol w:w="976"/>
      </w:tblGrid>
      <w:tr w:rsidR="00E357EE" w:rsidRPr="00E357EE" w:rsidTr="00FF7247">
        <w:trPr>
          <w:trHeight w:val="144"/>
        </w:trPr>
        <w:tc>
          <w:tcPr>
            <w:tcW w:w="976" w:type="dxa"/>
            <w:tcBorders>
              <w:top w:val="single" w:sz="12" w:space="0" w:color="auto"/>
              <w:left w:val="nil"/>
              <w:bottom w:val="single" w:sz="6" w:space="0" w:color="auto"/>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b/>
                <w:i/>
                <w:sz w:val="18"/>
                <w:szCs w:val="20"/>
              </w:rPr>
            </w:pPr>
            <w:r w:rsidRPr="00E357EE">
              <w:rPr>
                <w:rFonts w:ascii="STIX" w:eastAsia="Times New Roman" w:hAnsi="STIX" w:cs="STIX MathJax Main"/>
                <w:b/>
                <w:i/>
                <w:sz w:val="18"/>
                <w:szCs w:val="20"/>
              </w:rPr>
              <w:t>x</w:t>
            </w:r>
          </w:p>
        </w:tc>
        <w:tc>
          <w:tcPr>
            <w:tcW w:w="976" w:type="dxa"/>
            <w:tcBorders>
              <w:top w:val="single" w:sz="12" w:space="0" w:color="auto"/>
              <w:left w:val="nil"/>
              <w:bottom w:val="single" w:sz="6" w:space="0" w:color="auto"/>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b/>
                <w:i/>
                <w:sz w:val="18"/>
                <w:szCs w:val="20"/>
              </w:rPr>
            </w:pPr>
            <w:r w:rsidRPr="00E357EE">
              <w:rPr>
                <w:rFonts w:ascii="STIX" w:eastAsia="Times New Roman" w:hAnsi="STIX" w:cs="STIX MathJax Main"/>
                <w:b/>
                <w:i/>
                <w:sz w:val="18"/>
                <w:szCs w:val="20"/>
              </w:rPr>
              <w:t>T</w:t>
            </w:r>
          </w:p>
        </w:tc>
      </w:tr>
      <w:tr w:rsidR="00E357EE" w:rsidRPr="00E357EE" w:rsidTr="00FF7247">
        <w:trPr>
          <w:trHeight w:val="144"/>
        </w:trPr>
        <w:tc>
          <w:tcPr>
            <w:tcW w:w="976" w:type="dxa"/>
            <w:tcBorders>
              <w:top w:val="single" w:sz="6" w:space="0" w:color="auto"/>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0</w:t>
            </w:r>
          </w:p>
        </w:tc>
        <w:tc>
          <w:tcPr>
            <w:tcW w:w="976" w:type="dxa"/>
            <w:tcBorders>
              <w:top w:val="single" w:sz="6" w:space="0" w:color="auto"/>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300</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1</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271.7125</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2</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256.3119</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3</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248.5374</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4</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245.7334</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5</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246.9419</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6</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252.5757</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7</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264.5593</w:t>
            </w:r>
          </w:p>
        </w:tc>
      </w:tr>
      <w:tr w:rsidR="00E357EE" w:rsidRPr="00E357EE" w:rsidTr="00FF7247">
        <w:trPr>
          <w:trHeight w:val="144"/>
        </w:trPr>
        <w:tc>
          <w:tcPr>
            <w:tcW w:w="976" w:type="dxa"/>
            <w:tcBorders>
              <w:top w:val="nil"/>
              <w:left w:val="nil"/>
              <w:bottom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8</w:t>
            </w:r>
          </w:p>
        </w:tc>
        <w:tc>
          <w:tcPr>
            <w:tcW w:w="976" w:type="dxa"/>
            <w:tcBorders>
              <w:top w:val="nil"/>
              <w:left w:val="nil"/>
              <w:bottom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286.9864</w:t>
            </w:r>
          </w:p>
        </w:tc>
      </w:tr>
      <w:tr w:rsidR="00E357EE" w:rsidRPr="00E357EE" w:rsidTr="00FF7247">
        <w:trPr>
          <w:trHeight w:val="144"/>
        </w:trPr>
        <w:tc>
          <w:tcPr>
            <w:tcW w:w="976" w:type="dxa"/>
            <w:tcBorders>
              <w:top w:val="nil"/>
              <w:left w:val="nil"/>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9</w:t>
            </w:r>
          </w:p>
        </w:tc>
        <w:tc>
          <w:tcPr>
            <w:tcW w:w="976" w:type="dxa"/>
            <w:tcBorders>
              <w:top w:val="nil"/>
              <w:left w:val="nil"/>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327.5181</w:t>
            </w:r>
          </w:p>
        </w:tc>
      </w:tr>
      <w:tr w:rsidR="00E357EE" w:rsidRPr="00E357EE" w:rsidTr="00FF7247">
        <w:trPr>
          <w:trHeight w:val="144"/>
        </w:trPr>
        <w:tc>
          <w:tcPr>
            <w:tcW w:w="976" w:type="dxa"/>
            <w:tcBorders>
              <w:top w:val="nil"/>
              <w:left w:val="nil"/>
              <w:bottom w:val="single" w:sz="12" w:space="0" w:color="auto"/>
              <w:right w:val="nil"/>
            </w:tcBorders>
            <w:noWrap/>
            <w:vAlign w:val="center"/>
          </w:tcPr>
          <w:p w:rsidR="00E357EE" w:rsidRPr="00E357EE" w:rsidRDefault="00E357EE" w:rsidP="00E357EE">
            <w:pPr>
              <w:spacing w:after="0" w:line="240" w:lineRule="auto"/>
              <w:jc w:val="center"/>
              <w:rPr>
                <w:rFonts w:ascii="STIX MathJax Main" w:eastAsia="Times New Roman" w:hAnsi="STIX MathJax Main" w:cs="STIX MathJax Main"/>
                <w:sz w:val="18"/>
                <w:szCs w:val="20"/>
              </w:rPr>
            </w:pPr>
            <w:r w:rsidRPr="00E357EE">
              <w:rPr>
                <w:rFonts w:ascii="STIX" w:eastAsia="Times New Roman" w:hAnsi="STIX" w:cs="STIX MathJax Main"/>
                <w:sz w:val="18"/>
                <w:szCs w:val="20"/>
              </w:rPr>
              <w:t>10</w:t>
            </w:r>
          </w:p>
        </w:tc>
        <w:tc>
          <w:tcPr>
            <w:tcW w:w="976" w:type="dxa"/>
            <w:tcBorders>
              <w:top w:val="nil"/>
              <w:left w:val="nil"/>
              <w:bottom w:val="single" w:sz="12" w:space="0" w:color="auto"/>
              <w:right w:val="nil"/>
            </w:tcBorders>
            <w:noWrap/>
            <w:vAlign w:val="center"/>
          </w:tcPr>
          <w:p w:rsidR="00E357EE" w:rsidRPr="00E357EE" w:rsidRDefault="00E357EE" w:rsidP="00E357EE">
            <w:pPr>
              <w:spacing w:after="0" w:line="240" w:lineRule="auto"/>
              <w:jc w:val="right"/>
              <w:rPr>
                <w:rFonts w:ascii="STIX MathJax Main" w:eastAsia="Times New Roman" w:hAnsi="STIX MathJax Main" w:cs="STIX MathJax Main"/>
                <w:sz w:val="18"/>
                <w:szCs w:val="20"/>
              </w:rPr>
            </w:pPr>
            <w:r w:rsidRPr="00E357EE">
              <w:rPr>
                <w:rFonts w:ascii="STIX" w:eastAsia="Times New Roman" w:hAnsi="STIX" w:cs="STIX MathJax Main"/>
                <w:sz w:val="18"/>
                <w:szCs w:val="20"/>
              </w:rPr>
              <w:t>400</w:t>
            </w:r>
          </w:p>
        </w:tc>
      </w:tr>
    </w:tbl>
    <w:p w:rsidR="00E357EE" w:rsidRPr="00E357EE" w:rsidRDefault="00E357EE" w:rsidP="00E357EE">
      <w:pPr>
        <w:spacing w:after="0" w:line="240" w:lineRule="auto"/>
        <w:rPr>
          <w:rFonts w:ascii="STIX" w:eastAsia="Times New Roman" w:hAnsi="STIX"/>
          <w:sz w:val="20"/>
          <w:szCs w:val="24"/>
        </w:rPr>
      </w:pPr>
    </w:p>
    <w:p w:rsidR="00E357EE" w:rsidRDefault="00E357EE" w:rsidP="00E357EE">
      <w:pPr>
        <w:spacing w:after="0" w:line="240" w:lineRule="auto"/>
        <w:rPr>
          <w:rFonts w:ascii="STIX" w:hAnsi="STIX" w:cs="STIX"/>
          <w:i/>
          <w:sz w:val="20"/>
          <w:szCs w:val="20"/>
        </w:rPr>
      </w:pPr>
    </w:p>
    <w:p w:rsidR="00E357EE" w:rsidRDefault="00E357EE" w:rsidP="00E357EE">
      <w:pPr>
        <w:spacing w:after="0" w:line="240" w:lineRule="auto"/>
        <w:rPr>
          <w:rFonts w:ascii="STIX" w:hAnsi="STIX" w:cs="STIX"/>
          <w:i/>
          <w:sz w:val="20"/>
          <w:szCs w:val="20"/>
        </w:rPr>
      </w:pPr>
    </w:p>
    <w:p w:rsidR="00E357EE" w:rsidRDefault="00E357EE" w:rsidP="00E357EE">
      <w:pPr>
        <w:spacing w:after="0" w:line="240" w:lineRule="auto"/>
        <w:rPr>
          <w:rFonts w:ascii="STIX" w:hAnsi="STIX" w:cs="STIX"/>
          <w:i/>
          <w:sz w:val="20"/>
          <w:szCs w:val="20"/>
        </w:rPr>
        <w:sectPr w:rsidR="00E357EE"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t>The comparison with the solution of the nonlinear version (dashed) is depicted in this plot:</w:t>
      </w:r>
    </w:p>
    <w:p w:rsidR="00E357EE" w:rsidRPr="00E357EE" w:rsidRDefault="00E357EE" w:rsidP="00E357EE">
      <w:pPr>
        <w:spacing w:after="0" w:line="240" w:lineRule="auto"/>
        <w:rPr>
          <w:rFonts w:ascii="STIX" w:eastAsia="Times New Roman" w:hAnsi="STIX"/>
          <w:sz w:val="20"/>
          <w:szCs w:val="24"/>
        </w:rPr>
      </w:pPr>
    </w:p>
    <w:p w:rsidR="00E357EE" w:rsidRPr="00E357EE" w:rsidRDefault="00E357EE" w:rsidP="00E357EE">
      <w:pPr>
        <w:spacing w:after="0" w:line="240" w:lineRule="auto"/>
        <w:rPr>
          <w:rFonts w:ascii="STIX" w:eastAsia="Times New Roman" w:hAnsi="STIX"/>
          <w:sz w:val="20"/>
          <w:szCs w:val="24"/>
        </w:rPr>
      </w:pPr>
      <w:r w:rsidRPr="00E357EE">
        <w:rPr>
          <w:rFonts w:ascii="STIX" w:eastAsia="Times New Roman" w:hAnsi="STIX"/>
          <w:sz w:val="20"/>
          <w:szCs w:val="24"/>
        </w:rPr>
        <w:drawing>
          <wp:inline distT="0" distB="0" distL="0" distR="0">
            <wp:extent cx="2553335" cy="1276985"/>
            <wp:effectExtent l="0" t="0" r="0" b="0"/>
            <wp:docPr id="373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srcRect/>
                    <a:stretch>
                      <a:fillRect/>
                    </a:stretch>
                  </pic:blipFill>
                  <pic:spPr bwMode="auto">
                    <a:xfrm>
                      <a:off x="0" y="0"/>
                      <a:ext cx="2553335" cy="1276985"/>
                    </a:xfrm>
                    <a:prstGeom prst="rect">
                      <a:avLst/>
                    </a:prstGeom>
                    <a:noFill/>
                    <a:ln w="9525">
                      <a:noFill/>
                      <a:miter lim="800000"/>
                      <a:headEnd/>
                      <a:tailEnd/>
                    </a:ln>
                  </pic:spPr>
                </pic:pic>
              </a:graphicData>
            </a:graphic>
          </wp:inline>
        </w:drawing>
      </w:r>
    </w:p>
    <w:p w:rsidR="0024360D" w:rsidRPr="0024360D" w:rsidRDefault="0024360D" w:rsidP="00E357EE">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FEFDC-07E3-4E86-AD48-CD5FB4E8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2017-04-02T15:02:00Z</dcterms:created>
  <dcterms:modified xsi:type="dcterms:W3CDTF">2017-04-02T15:02:00Z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