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DB3E0D">
        <w:rPr>
          <w:b/>
          <w:noProof/>
          <w:sz w:val="20"/>
          <w:szCs w:val="20"/>
        </w:rPr>
        <w:t>24.9</w:t>
      </w:r>
    </w:p>
    <w:p w:rsidR="005375C4" w:rsidRDefault="005375C4" w:rsidP="005375C4">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sz w:val="20"/>
          <w:szCs w:val="24"/>
        </w:rPr>
        <w:t>First, the 2nd-order ODE can be re-expressed as the following system of 1st-order ODE’s</w: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position w:val="-56"/>
          <w:sz w:val="20"/>
          <w:szCs w:val="20"/>
        </w:rPr>
        <w:object w:dxaOrig="286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560" type="#_x0000_t75" style="width:143.25pt;height:62.25pt" o:ole="">
            <v:imagedata r:id="rId8" o:title=""/>
          </v:shape>
          <o:OLEObject Type="Embed" ProgID="Equation.DSMT4" ShapeID="_x0000_i8560" DrawAspect="Content" ObjectID="_1552647284" r:id="rId9"/>
        </w:objec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b/>
          <w:sz w:val="20"/>
          <w:szCs w:val="24"/>
        </w:rPr>
        <w:t>(a)</w:t>
      </w:r>
      <w:r w:rsidRPr="00DB3E0D">
        <w:rPr>
          <w:rFonts w:ascii="STIX" w:eastAsia="Times New Roman" w:hAnsi="STIX"/>
          <w:sz w:val="20"/>
          <w:szCs w:val="24"/>
        </w:rPr>
        <w:t xml:space="preserve"> Shooting method: These can be solved for two guesses for the initial condition of </w:t>
      </w:r>
      <w:r w:rsidRPr="00DB3E0D">
        <w:rPr>
          <w:rFonts w:ascii="STIX" w:eastAsia="Times New Roman" w:hAnsi="STIX"/>
          <w:i/>
          <w:sz w:val="20"/>
          <w:szCs w:val="24"/>
        </w:rPr>
        <w:t>z</w:t>
      </w:r>
      <w:r w:rsidRPr="00DB3E0D">
        <w:rPr>
          <w:rFonts w:ascii="STIX" w:eastAsia="Times New Roman" w:hAnsi="STIX"/>
          <w:sz w:val="20"/>
          <w:szCs w:val="24"/>
        </w:rPr>
        <w:t xml:space="preserve">. For our cases we used </w:t>
      </w:r>
      <w:r w:rsidRPr="00DB3E0D">
        <w:rPr>
          <w:rFonts w:ascii="Courier New" w:eastAsia="Times New Roman" w:hAnsi="Courier New"/>
          <w:sz w:val="20"/>
          <w:szCs w:val="24"/>
        </w:rPr>
        <w:t>–</w:t>
      </w:r>
      <w:r w:rsidRPr="00DB3E0D">
        <w:rPr>
          <w:rFonts w:ascii="STIX" w:eastAsia="Times New Roman" w:hAnsi="STIX"/>
          <w:sz w:val="20"/>
          <w:szCs w:val="24"/>
        </w:rPr>
        <w:t xml:space="preserve">1 and </w:t>
      </w:r>
      <w:r w:rsidRPr="00DB3E0D">
        <w:rPr>
          <w:rFonts w:ascii="Courier New" w:eastAsia="Times New Roman" w:hAnsi="Courier New"/>
          <w:sz w:val="20"/>
          <w:szCs w:val="24"/>
        </w:rPr>
        <w:t>–</w:t>
      </w:r>
      <w:r w:rsidRPr="00DB3E0D">
        <w:rPr>
          <w:rFonts w:ascii="STIX" w:eastAsia="Times New Roman" w:hAnsi="STIX"/>
          <w:sz w:val="20"/>
          <w:szCs w:val="24"/>
        </w:rPr>
        <w:t>0.5. We solved the ODEs with the 4</w:t>
      </w:r>
      <w:r w:rsidRPr="00DB3E0D">
        <w:rPr>
          <w:rFonts w:ascii="STIX" w:eastAsia="Times New Roman" w:hAnsi="STIX"/>
          <w:sz w:val="20"/>
          <w:szCs w:val="24"/>
          <w:vertAlign w:val="superscript"/>
        </w:rPr>
        <w:t>th</w:t>
      </w:r>
      <w:r w:rsidRPr="00DB3E0D">
        <w:rPr>
          <w:rFonts w:ascii="STIX" w:eastAsia="Times New Roman" w:hAnsi="STIX"/>
          <w:sz w:val="20"/>
          <w:szCs w:val="24"/>
        </w:rPr>
        <w:t>-order RK method using a step size of 0.125. The results are</w:t>
      </w:r>
    </w:p>
    <w:p w:rsidR="00DB3E0D" w:rsidRPr="00DB3E0D" w:rsidRDefault="00DB3E0D" w:rsidP="00DB3E0D">
      <w:pPr>
        <w:spacing w:after="0" w:line="240" w:lineRule="auto"/>
        <w:rPr>
          <w:rFonts w:ascii="STIX" w:eastAsia="Times New Roman" w:hAnsi="STIX"/>
          <w:sz w:val="20"/>
          <w:szCs w:val="24"/>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900"/>
        <w:gridCol w:w="1620"/>
        <w:gridCol w:w="1800"/>
      </w:tblGrid>
      <w:tr w:rsidR="00DB3E0D" w:rsidRPr="00DB3E0D" w:rsidTr="00FF7247">
        <w:trPr>
          <w:trHeight w:val="144"/>
        </w:trPr>
        <w:tc>
          <w:tcPr>
            <w:tcW w:w="900" w:type="dxa"/>
            <w:vAlign w:val="center"/>
          </w:tcPr>
          <w:p w:rsidR="00DB3E0D" w:rsidRPr="00DB3E0D" w:rsidRDefault="00DB3E0D" w:rsidP="00DB3E0D">
            <w:pPr>
              <w:spacing w:after="0" w:line="240" w:lineRule="auto"/>
              <w:jc w:val="center"/>
              <w:rPr>
                <w:rFonts w:ascii="STIX MathJax Main" w:eastAsia="Times New Roman" w:hAnsi="STIX MathJax Main" w:cs="STIX MathJax Main"/>
                <w:b/>
                <w:color w:val="000000"/>
                <w:sz w:val="18"/>
                <w:szCs w:val="18"/>
              </w:rPr>
            </w:pPr>
            <w:r w:rsidRPr="00DB3E0D">
              <w:rPr>
                <w:rFonts w:ascii="STIX" w:eastAsia="Times New Roman" w:hAnsi="STIX" w:cs="STIX MathJax Main"/>
                <w:b/>
                <w:i/>
                <w:color w:val="000000"/>
                <w:sz w:val="18"/>
                <w:szCs w:val="18"/>
              </w:rPr>
              <w:t>z</w:t>
            </w:r>
            <w:r w:rsidRPr="00DB3E0D">
              <w:rPr>
                <w:rFonts w:ascii="STIX" w:eastAsia="Times New Roman" w:hAnsi="STIX" w:cs="STIX MathJax Main"/>
                <w:b/>
                <w:color w:val="000000"/>
                <w:sz w:val="18"/>
                <w:szCs w:val="18"/>
              </w:rPr>
              <w:t>(0)</w:t>
            </w:r>
          </w:p>
        </w:tc>
        <w:tc>
          <w:tcPr>
            <w:tcW w:w="1620" w:type="dxa"/>
            <w:vAlign w:val="center"/>
          </w:tcPr>
          <w:p w:rsidR="00DB3E0D" w:rsidRPr="00DB3E0D" w:rsidRDefault="00DB3E0D" w:rsidP="00DB3E0D">
            <w:pPr>
              <w:spacing w:after="0" w:line="240" w:lineRule="auto"/>
              <w:jc w:val="center"/>
              <w:rPr>
                <w:rFonts w:ascii="STIX MathJax Main" w:eastAsia="Times New Roman" w:hAnsi="STIX MathJax Main" w:cs="STIX MathJax Main"/>
                <w:color w:val="000000"/>
                <w:sz w:val="18"/>
                <w:szCs w:val="18"/>
              </w:rPr>
            </w:pPr>
            <w:r w:rsidRPr="00DB3E0D">
              <w:rPr>
                <w:rFonts w:ascii="Courier New" w:eastAsia="Times New Roman" w:hAnsi="Courier New" w:cs="STIX MathJax Main"/>
                <w:color w:val="000000"/>
                <w:sz w:val="18"/>
                <w:szCs w:val="18"/>
              </w:rPr>
              <w:t>–</w:t>
            </w:r>
            <w:r w:rsidRPr="00DB3E0D">
              <w:rPr>
                <w:rFonts w:ascii="STIX" w:eastAsia="Times New Roman" w:hAnsi="STIX" w:cs="STIX MathJax Main"/>
                <w:color w:val="000000"/>
                <w:sz w:val="18"/>
                <w:szCs w:val="18"/>
              </w:rPr>
              <w:t>1</w:t>
            </w:r>
          </w:p>
        </w:tc>
        <w:tc>
          <w:tcPr>
            <w:tcW w:w="1800" w:type="dxa"/>
            <w:vAlign w:val="center"/>
          </w:tcPr>
          <w:p w:rsidR="00DB3E0D" w:rsidRPr="00DB3E0D" w:rsidRDefault="00DB3E0D" w:rsidP="00DB3E0D">
            <w:pPr>
              <w:spacing w:after="0" w:line="240" w:lineRule="auto"/>
              <w:jc w:val="center"/>
              <w:rPr>
                <w:rFonts w:ascii="STIX MathJax Main" w:eastAsia="Times New Roman" w:hAnsi="STIX MathJax Main" w:cs="STIX MathJax Main"/>
                <w:color w:val="000000"/>
                <w:sz w:val="18"/>
                <w:szCs w:val="18"/>
              </w:rPr>
            </w:pPr>
            <w:r w:rsidRPr="00DB3E0D">
              <w:rPr>
                <w:rFonts w:ascii="Courier New" w:eastAsia="Times New Roman" w:hAnsi="Courier New" w:cs="STIX MathJax Main"/>
                <w:color w:val="000000"/>
                <w:sz w:val="18"/>
                <w:szCs w:val="18"/>
              </w:rPr>
              <w:t>–</w:t>
            </w:r>
            <w:r w:rsidRPr="00DB3E0D">
              <w:rPr>
                <w:rFonts w:ascii="STIX" w:eastAsia="Times New Roman" w:hAnsi="STIX" w:cs="STIX MathJax Main"/>
                <w:color w:val="000000"/>
                <w:sz w:val="18"/>
                <w:szCs w:val="18"/>
              </w:rPr>
              <w:t>0.5</w:t>
            </w:r>
          </w:p>
        </w:tc>
      </w:tr>
      <w:tr w:rsidR="00DB3E0D" w:rsidRPr="00DB3E0D" w:rsidTr="00FF7247">
        <w:trPr>
          <w:trHeight w:val="144"/>
        </w:trPr>
        <w:tc>
          <w:tcPr>
            <w:tcW w:w="900" w:type="dxa"/>
            <w:vAlign w:val="center"/>
          </w:tcPr>
          <w:p w:rsidR="00DB3E0D" w:rsidRPr="00DB3E0D" w:rsidRDefault="00DB3E0D" w:rsidP="00DB3E0D">
            <w:pPr>
              <w:spacing w:after="0" w:line="240" w:lineRule="auto"/>
              <w:jc w:val="center"/>
              <w:rPr>
                <w:rFonts w:ascii="STIX MathJax Main" w:eastAsia="Times New Roman" w:hAnsi="STIX MathJax Main" w:cs="STIX MathJax Main"/>
                <w:b/>
                <w:color w:val="000000"/>
                <w:sz w:val="18"/>
                <w:szCs w:val="18"/>
              </w:rPr>
            </w:pPr>
            <w:r w:rsidRPr="00DB3E0D">
              <w:rPr>
                <w:rFonts w:ascii="STIX" w:eastAsia="Times New Roman" w:hAnsi="STIX" w:cs="STIX MathJax Main"/>
                <w:b/>
                <w:i/>
                <w:color w:val="000000"/>
                <w:sz w:val="18"/>
                <w:szCs w:val="18"/>
              </w:rPr>
              <w:t>T</w:t>
            </w:r>
            <w:r w:rsidRPr="00DB3E0D">
              <w:rPr>
                <w:rFonts w:ascii="STIX" w:eastAsia="Times New Roman" w:hAnsi="STIX" w:cs="STIX MathJax Main"/>
                <w:b/>
                <w:color w:val="000000"/>
                <w:sz w:val="18"/>
                <w:szCs w:val="18"/>
              </w:rPr>
              <w:t>(10)</w:t>
            </w:r>
          </w:p>
        </w:tc>
        <w:tc>
          <w:tcPr>
            <w:tcW w:w="1620" w:type="dxa"/>
            <w:vAlign w:val="center"/>
          </w:tcPr>
          <w:p w:rsidR="00DB3E0D" w:rsidRPr="00DB3E0D" w:rsidRDefault="00DB3E0D" w:rsidP="00DB3E0D">
            <w:pPr>
              <w:spacing w:after="0" w:line="240" w:lineRule="auto"/>
              <w:jc w:val="center"/>
              <w:rPr>
                <w:rFonts w:ascii="STIX MathJax Main" w:eastAsia="Times New Roman" w:hAnsi="STIX MathJax Main" w:cs="STIX MathJax Main"/>
                <w:color w:val="000000"/>
                <w:sz w:val="18"/>
                <w:szCs w:val="18"/>
              </w:rPr>
            </w:pPr>
            <w:r w:rsidRPr="00DB3E0D">
              <w:rPr>
                <w:rFonts w:ascii="Courier New" w:eastAsia="Times New Roman" w:hAnsi="Courier New" w:cs="STIX MathJax Main"/>
                <w:color w:val="000000"/>
                <w:sz w:val="18"/>
                <w:szCs w:val="18"/>
              </w:rPr>
              <w:t>–</w:t>
            </w:r>
            <w:r w:rsidRPr="00DB3E0D">
              <w:rPr>
                <w:rFonts w:ascii="STIX" w:eastAsia="Times New Roman" w:hAnsi="STIX" w:cs="STIX MathJax Main"/>
                <w:color w:val="000000"/>
                <w:sz w:val="18"/>
                <w:szCs w:val="18"/>
              </w:rPr>
              <w:t>570</w:t>
            </w:r>
          </w:p>
        </w:tc>
        <w:tc>
          <w:tcPr>
            <w:tcW w:w="1800" w:type="dxa"/>
            <w:vAlign w:val="center"/>
          </w:tcPr>
          <w:p w:rsidR="00DB3E0D" w:rsidRPr="00DB3E0D" w:rsidRDefault="00DB3E0D" w:rsidP="00DB3E0D">
            <w:pPr>
              <w:spacing w:after="0" w:line="240" w:lineRule="auto"/>
              <w:jc w:val="center"/>
              <w:rPr>
                <w:rFonts w:ascii="STIX MathJax Main" w:eastAsia="Times New Roman" w:hAnsi="STIX MathJax Main" w:cs="STIX MathJax Main"/>
                <w:color w:val="000000"/>
                <w:sz w:val="18"/>
                <w:szCs w:val="18"/>
              </w:rPr>
            </w:pPr>
            <w:r w:rsidRPr="00DB3E0D">
              <w:rPr>
                <w:rFonts w:ascii="Courier New" w:eastAsia="Times New Roman" w:hAnsi="Courier New" w:cs="STIX MathJax Main"/>
                <w:color w:val="000000"/>
                <w:sz w:val="18"/>
                <w:szCs w:val="18"/>
              </w:rPr>
              <w:t>–</w:t>
            </w:r>
            <w:r w:rsidRPr="00DB3E0D">
              <w:rPr>
                <w:rFonts w:ascii="STIX" w:eastAsia="Times New Roman" w:hAnsi="STIX" w:cs="STIX MathJax Main"/>
                <w:color w:val="000000"/>
                <w:sz w:val="18"/>
                <w:szCs w:val="18"/>
              </w:rPr>
              <w:t>565</w:t>
            </w:r>
          </w:p>
        </w:tc>
      </w:tr>
    </w:tbl>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sz w:val="20"/>
          <w:szCs w:val="24"/>
        </w:rPr>
        <w:t>These values can then be used to derive the correct initial condition,</w: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0"/>
        </w:rPr>
      </w:pPr>
      <w:r w:rsidRPr="00DB3E0D">
        <w:rPr>
          <w:rFonts w:ascii="STIX" w:eastAsia="Times New Roman" w:hAnsi="STIX"/>
          <w:position w:val="-28"/>
          <w:sz w:val="20"/>
          <w:szCs w:val="20"/>
        </w:rPr>
        <w:object w:dxaOrig="4440" w:dyaOrig="680">
          <v:shape id="_x0000_i8561" type="#_x0000_t75" style="width:222pt;height:33.75pt" o:ole="">
            <v:imagedata r:id="rId10" o:title=""/>
          </v:shape>
          <o:OLEObject Type="Embed" ProgID="Equation.DSMT4" ShapeID="_x0000_i8561" DrawAspect="Content" ObjectID="_1552647285" r:id="rId11"/>
        </w:objec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0"/>
        </w:rPr>
      </w:pPr>
      <w:r w:rsidRPr="00DB3E0D">
        <w:rPr>
          <w:rFonts w:ascii="STIX" w:eastAsia="Times New Roman" w:hAnsi="STIX"/>
          <w:sz w:val="20"/>
          <w:szCs w:val="20"/>
        </w:rPr>
        <w:t>The resulting fit is displayed below:</w:t>
      </w: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sz w:val="20"/>
          <w:szCs w:val="24"/>
        </w:rPr>
        <w:drawing>
          <wp:inline distT="0" distB="0" distL="0" distR="0">
            <wp:extent cx="2441575" cy="1233805"/>
            <wp:effectExtent l="0" t="0" r="0" b="0"/>
            <wp:docPr id="3741"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srcRect/>
                    <a:stretch>
                      <a:fillRect/>
                    </a:stretch>
                  </pic:blipFill>
                  <pic:spPr bwMode="auto">
                    <a:xfrm>
                      <a:off x="0" y="0"/>
                      <a:ext cx="2441575" cy="1233805"/>
                    </a:xfrm>
                    <a:prstGeom prst="rect">
                      <a:avLst/>
                    </a:prstGeom>
                    <a:noFill/>
                    <a:ln w="9525">
                      <a:noFill/>
                      <a:miter lim="800000"/>
                      <a:headEnd/>
                      <a:tailEnd/>
                    </a:ln>
                  </pic:spPr>
                </pic:pic>
              </a:graphicData>
            </a:graphic>
          </wp:inline>
        </w:drawing>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b/>
          <w:sz w:val="20"/>
          <w:szCs w:val="24"/>
        </w:rPr>
        <w:t>(b)</w:t>
      </w:r>
      <w:r w:rsidRPr="00DB3E0D">
        <w:rPr>
          <w:rFonts w:ascii="STIX" w:eastAsia="Times New Roman" w:hAnsi="STIX"/>
          <w:sz w:val="20"/>
          <w:szCs w:val="24"/>
        </w:rPr>
        <w:t xml:space="preserve"> Finite difference: Centered finite differences can be substituted for the second and first derivatives to give,</w: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position w:val="-24"/>
          <w:sz w:val="20"/>
          <w:szCs w:val="20"/>
        </w:rPr>
        <w:object w:dxaOrig="4060" w:dyaOrig="660">
          <v:shape id="_x0000_i8562" type="#_x0000_t75" style="width:203.25pt;height:33pt" o:ole="">
            <v:imagedata r:id="rId13" o:title=""/>
          </v:shape>
          <o:OLEObject Type="Embed" ProgID="Equation.DSMT4" ShapeID="_x0000_i8562" DrawAspect="Content" ObjectID="_1552647286" r:id="rId14"/>
        </w:object>
      </w: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sz w:val="20"/>
          <w:szCs w:val="24"/>
        </w:rPr>
        <w:t xml:space="preserve">or substituting </w:t>
      </w:r>
      <w:r w:rsidRPr="00DB3E0D">
        <w:rPr>
          <w:rFonts w:ascii="Courier New" w:eastAsia="Times New Roman" w:hAnsi="Courier New"/>
          <w:sz w:val="20"/>
          <w:szCs w:val="20"/>
        </w:rPr>
        <w:sym w:font="Symbol" w:char="F044"/>
      </w:r>
      <w:r w:rsidRPr="00DB3E0D">
        <w:rPr>
          <w:rFonts w:ascii="STIX" w:eastAsia="Times New Roman" w:hAnsi="STIX"/>
          <w:i/>
          <w:sz w:val="20"/>
          <w:szCs w:val="24"/>
        </w:rPr>
        <w:t>x</w:t>
      </w:r>
      <w:r w:rsidRPr="00DB3E0D">
        <w:rPr>
          <w:rFonts w:ascii="STIX" w:eastAsia="Times New Roman" w:hAnsi="STIX"/>
          <w:sz w:val="20"/>
          <w:szCs w:val="24"/>
        </w:rPr>
        <w:t xml:space="preserve"> </w:t>
      </w:r>
      <w:r w:rsidRPr="00DB3E0D">
        <w:rPr>
          <w:rFonts w:ascii="Courier New" w:eastAsia="Times New Roman" w:hAnsi="Courier New"/>
          <w:sz w:val="20"/>
          <w:szCs w:val="24"/>
        </w:rPr>
        <w:t>=</w:t>
      </w:r>
      <w:r w:rsidRPr="00DB3E0D">
        <w:rPr>
          <w:rFonts w:ascii="STIX" w:eastAsia="Times New Roman" w:hAnsi="STIX"/>
          <w:sz w:val="20"/>
          <w:szCs w:val="24"/>
        </w:rPr>
        <w:t xml:space="preserve"> 2 and collecting terms yields</w: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position w:val="-12"/>
          <w:sz w:val="20"/>
          <w:szCs w:val="20"/>
        </w:rPr>
        <w:object w:dxaOrig="4380" w:dyaOrig="400">
          <v:shape id="_x0000_i8563" type="#_x0000_t75" style="width:219pt;height:20.25pt" o:ole="">
            <v:imagedata r:id="rId15" o:title=""/>
          </v:shape>
          <o:OLEObject Type="Embed" ProgID="Equation.DSMT4" ShapeID="_x0000_i8563" DrawAspect="Content" ObjectID="_1552647287" r:id="rId16"/>
        </w:object>
      </w:r>
    </w:p>
    <w:p w:rsidR="00DB3E0D" w:rsidRPr="00DB3E0D" w:rsidRDefault="00DB3E0D" w:rsidP="00DB3E0D">
      <w:pPr>
        <w:spacing w:after="0" w:line="240" w:lineRule="auto"/>
        <w:rPr>
          <w:rFonts w:ascii="STIX" w:eastAsia="Times New Roman" w:hAnsi="STIX"/>
          <w:sz w:val="20"/>
          <w:szCs w:val="24"/>
        </w:rPr>
      </w:pPr>
    </w:p>
    <w:p w:rsidR="00DB3E0D" w:rsidRDefault="00DB3E0D" w:rsidP="00DB3E0D">
      <w:pPr>
        <w:spacing w:after="0" w:line="240" w:lineRule="auto"/>
        <w:rPr>
          <w:rFonts w:ascii="STIX" w:hAnsi="STIX" w:cs="STIX"/>
          <w:i/>
          <w:sz w:val="20"/>
          <w:szCs w:val="20"/>
        </w:rPr>
      </w:pPr>
    </w:p>
    <w:p w:rsidR="00DB3E0D" w:rsidRDefault="00DB3E0D" w:rsidP="00DB3E0D">
      <w:pPr>
        <w:spacing w:after="0" w:line="240" w:lineRule="auto"/>
        <w:rPr>
          <w:rFonts w:ascii="STIX" w:hAnsi="STIX" w:cs="STIX"/>
          <w:i/>
          <w:sz w:val="20"/>
          <w:szCs w:val="20"/>
        </w:rPr>
        <w:sectPr w:rsidR="00DB3E0D"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sz w:val="20"/>
          <w:szCs w:val="24"/>
        </w:rPr>
        <w:t>This equation can be written for each node with the result</w: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position w:val="-70"/>
          <w:sz w:val="20"/>
          <w:szCs w:val="20"/>
        </w:rPr>
        <w:object w:dxaOrig="3560" w:dyaOrig="1520">
          <v:shape id="_x0000_i8564" type="#_x0000_t75" style="width:177.75pt;height:75.75pt" o:ole="">
            <v:imagedata r:id="rId18" o:title=""/>
          </v:shape>
          <o:OLEObject Type="Embed" ProgID="Equation.DSMT4" ShapeID="_x0000_i8564" DrawAspect="Content" ObjectID="_1552647288" r:id="rId19"/>
        </w:objec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STIX" w:eastAsia="Times New Roman" w:hAnsi="STIX"/>
          <w:sz w:val="20"/>
          <w:szCs w:val="24"/>
        </w:rPr>
      </w:pPr>
      <w:r w:rsidRPr="00DB3E0D">
        <w:rPr>
          <w:rFonts w:ascii="STIX" w:eastAsia="Times New Roman" w:hAnsi="STIX"/>
          <w:sz w:val="20"/>
          <w:szCs w:val="24"/>
        </w:rPr>
        <w:t>These equations can be solved with MATLAB:</w:t>
      </w:r>
    </w:p>
    <w:p w:rsidR="00DB3E0D" w:rsidRPr="00DB3E0D" w:rsidRDefault="00DB3E0D" w:rsidP="00DB3E0D">
      <w:pPr>
        <w:spacing w:after="0" w:line="240" w:lineRule="auto"/>
        <w:rPr>
          <w:rFonts w:ascii="STIX" w:eastAsia="Times New Roman" w:hAnsi="STIX"/>
          <w:sz w:val="20"/>
          <w:szCs w:val="24"/>
        </w:rPr>
      </w:pP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&gt;&gt; A=[2 -1 0 0</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-1 2 -1 0</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0 -1 2 -1</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0 0 -1 2];</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&gt;&gt; b=[101.44 69.12 46.08 215.36]';</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&gt;&gt; x=A\b</w:t>
      </w:r>
    </w:p>
    <w:p w:rsidR="00DB3E0D" w:rsidRPr="00DB3E0D" w:rsidRDefault="00DB3E0D" w:rsidP="00DB3E0D">
      <w:pPr>
        <w:spacing w:after="0" w:line="240" w:lineRule="auto"/>
        <w:rPr>
          <w:rFonts w:ascii="Courier New" w:eastAsia="Times New Roman" w:hAnsi="Courier New" w:cs="Courier New"/>
          <w:sz w:val="18"/>
          <w:szCs w:val="24"/>
        </w:rPr>
      </w:pP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x =</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 xml:space="preserve">  184.1280</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 xml:space="preserve">  266.8160</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 xml:space="preserve">  280.3840</w:t>
      </w:r>
    </w:p>
    <w:p w:rsidR="00DB3E0D" w:rsidRPr="00DB3E0D" w:rsidRDefault="00DB3E0D" w:rsidP="00DB3E0D">
      <w:pPr>
        <w:spacing w:after="0" w:line="240" w:lineRule="auto"/>
        <w:rPr>
          <w:rFonts w:ascii="Courier New" w:eastAsia="Times New Roman" w:hAnsi="Courier New" w:cs="Courier New"/>
          <w:sz w:val="18"/>
          <w:szCs w:val="24"/>
        </w:rPr>
      </w:pPr>
      <w:r w:rsidRPr="00DB3E0D">
        <w:rPr>
          <w:rFonts w:ascii="Courier New" w:eastAsia="Times New Roman" w:hAnsi="Courier New" w:cs="Courier New"/>
          <w:sz w:val="18"/>
          <w:szCs w:val="24"/>
        </w:rPr>
        <w:t xml:space="preserve">  247.8720</w:t>
      </w:r>
    </w:p>
    <w:p w:rsidR="0024360D" w:rsidRPr="0024360D" w:rsidRDefault="0024360D" w:rsidP="00DB3E0D">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FA10-53A7-4358-90BB-8372E35B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2017-04-02T15:06:00Z</dcterms:created>
  <dcterms:modified xsi:type="dcterms:W3CDTF">2017-04-02T15:06:00Z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