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B4F62">
        <w:rPr>
          <w:b/>
          <w:noProof/>
          <w:sz w:val="20"/>
          <w:szCs w:val="20"/>
        </w:rPr>
        <w:t>24.12</w:t>
      </w:r>
    </w:p>
    <w:p w:rsidR="005375C4" w:rsidRDefault="005375C4" w:rsidP="005375C4">
      <w:pPr>
        <w:spacing w:after="0" w:line="240" w:lineRule="auto"/>
        <w:rPr>
          <w:rFonts w:ascii="STIX" w:eastAsia="Times New Roman" w:hAnsi="STIX"/>
          <w:sz w:val="20"/>
          <w:szCs w:val="24"/>
        </w:rPr>
      </w:pPr>
    </w:p>
    <w:p w:rsidR="006B4F62" w:rsidRPr="006B4F62" w:rsidRDefault="006B4F62" w:rsidP="006B4F62">
      <w:pPr>
        <w:spacing w:after="0" w:line="240" w:lineRule="auto"/>
        <w:rPr>
          <w:rFonts w:ascii="STIX" w:eastAsia="Times New Roman" w:hAnsi="STIX"/>
          <w:sz w:val="20"/>
          <w:szCs w:val="24"/>
        </w:rPr>
      </w:pPr>
      <w:r w:rsidRPr="006B4F62">
        <w:rPr>
          <w:rFonts w:ascii="STIX" w:eastAsia="Times New Roman" w:hAnsi="STIX"/>
          <w:sz w:val="20"/>
          <w:szCs w:val="24"/>
        </w:rPr>
        <w:t>Substitute centered difference for the derivatives,</w:t>
      </w:r>
    </w:p>
    <w:p w:rsidR="006B4F62" w:rsidRPr="006B4F62" w:rsidRDefault="006B4F62" w:rsidP="006B4F62">
      <w:pPr>
        <w:spacing w:after="0" w:line="240" w:lineRule="auto"/>
        <w:rPr>
          <w:rFonts w:ascii="STIX" w:eastAsia="Times New Roman" w:hAnsi="STIX"/>
          <w:sz w:val="20"/>
          <w:szCs w:val="24"/>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24"/>
          <w:sz w:val="20"/>
          <w:szCs w:val="20"/>
        </w:rPr>
        <w:object w:dxaOrig="37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63" type="#_x0000_t75" style="width:189pt;height:33pt" o:ole="">
            <v:imagedata r:id="rId8" o:title=""/>
          </v:shape>
          <o:OLEObject Type="Embed" ProgID="Equation.DSMT4" ShapeID="_x0000_i8663" DrawAspect="Content" ObjectID="_1552647437" r:id="rId9"/>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Collecting terms gives</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30"/>
          <w:sz w:val="20"/>
          <w:szCs w:val="20"/>
        </w:rPr>
        <w:object w:dxaOrig="5539" w:dyaOrig="720">
          <v:shape id="_x0000_i8664" type="#_x0000_t75" style="width:276.75pt;height:36pt" o:ole="">
            <v:imagedata r:id="rId10" o:title=""/>
          </v:shape>
          <o:OLEObject Type="Embed" ProgID="Equation.DSMT4" ShapeID="_x0000_i8664" DrawAspect="Content" ObjectID="_1552647438" r:id="rId11"/>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Substituting the parameter values yields</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12"/>
          <w:sz w:val="20"/>
          <w:szCs w:val="20"/>
        </w:rPr>
        <w:object w:dxaOrig="2600" w:dyaOrig="360">
          <v:shape id="_x0000_i8665" type="#_x0000_t75" style="width:129.75pt;height:18pt" o:ole="">
            <v:imagedata r:id="rId12" o:title=""/>
          </v:shape>
          <o:OLEObject Type="Embed" ProgID="Equation.DSMT4" ShapeID="_x0000_i8665" DrawAspect="Content" ObjectID="_1552647439" r:id="rId13"/>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 xml:space="preserve">For the inlet node </w:t>
      </w:r>
      <w:r w:rsidRPr="006B4F62">
        <w:rPr>
          <w:rFonts w:ascii="Courier New" w:eastAsia="Times New Roman" w:hAnsi="Courier New"/>
          <w:sz w:val="20"/>
        </w:rPr>
        <w:t>(</w:t>
      </w:r>
      <w:r w:rsidRPr="006B4F62">
        <w:rPr>
          <w:rFonts w:ascii="STIX" w:eastAsia="Times New Roman" w:hAnsi="STIX"/>
          <w:i/>
          <w:sz w:val="20"/>
        </w:rPr>
        <w:t>i</w:t>
      </w:r>
      <w:r w:rsidRPr="006B4F62">
        <w:rPr>
          <w:rFonts w:ascii="STIX" w:eastAsia="Times New Roman" w:hAnsi="STIX"/>
          <w:sz w:val="20"/>
        </w:rPr>
        <w:t xml:space="preserve"> </w:t>
      </w:r>
      <w:r w:rsidRPr="006B4F62">
        <w:rPr>
          <w:rFonts w:ascii="Courier New" w:eastAsia="Times New Roman" w:hAnsi="Courier New"/>
          <w:sz w:val="20"/>
        </w:rPr>
        <w:t>=</w:t>
      </w:r>
      <w:r w:rsidRPr="006B4F62">
        <w:rPr>
          <w:rFonts w:ascii="STIX" w:eastAsia="Times New Roman" w:hAnsi="STIX"/>
          <w:sz w:val="20"/>
        </w:rPr>
        <w:t xml:space="preserve"> 1</w:t>
      </w:r>
      <w:r w:rsidRPr="006B4F62">
        <w:rPr>
          <w:rFonts w:ascii="Courier New" w:eastAsia="Times New Roman" w:hAnsi="Courier New"/>
          <w:sz w:val="20"/>
        </w:rPr>
        <w:t>)</w:t>
      </w:r>
      <w:r w:rsidRPr="006B4F62">
        <w:rPr>
          <w:rFonts w:ascii="STIX" w:eastAsia="Times New Roman" w:hAnsi="STIX"/>
          <w:sz w:val="20"/>
        </w:rPr>
        <w:t>, we must use a finite difference approximation for the first derivative. We use a second-order version (recall Table 21.3) so that the accuracy is comparable to the centered differences we employ for the interior nodes,</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24"/>
          <w:sz w:val="20"/>
          <w:szCs w:val="20"/>
        </w:rPr>
        <w:object w:dxaOrig="2880" w:dyaOrig="660">
          <v:shape id="_x0000_i8666" type="#_x0000_t75" style="width:2in;height:33pt" o:ole="">
            <v:imagedata r:id="rId14" o:title=""/>
          </v:shape>
          <o:OLEObject Type="Embed" ProgID="Equation.DSMT4" ShapeID="_x0000_i8666" DrawAspect="Content" ObjectID="_1552647440" r:id="rId15"/>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which can be solved for</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30"/>
          <w:sz w:val="20"/>
          <w:szCs w:val="20"/>
        </w:rPr>
        <w:object w:dxaOrig="4740" w:dyaOrig="720">
          <v:shape id="_x0000_i8667" type="#_x0000_t75" style="width:237pt;height:36pt" o:ole="">
            <v:imagedata r:id="rId16" o:title=""/>
          </v:shape>
          <o:OLEObject Type="Embed" ProgID="Equation.DSMT4" ShapeID="_x0000_i8667" DrawAspect="Content" ObjectID="_1552647441" r:id="rId17"/>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Substituting the parameters gives</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12"/>
          <w:sz w:val="20"/>
          <w:szCs w:val="20"/>
        </w:rPr>
        <w:object w:dxaOrig="2560" w:dyaOrig="360">
          <v:shape id="_x0000_i8668" type="#_x0000_t75" style="width:128.25pt;height:18pt" o:ole="">
            <v:imagedata r:id="rId18" o:title=""/>
          </v:shape>
          <o:OLEObject Type="Embed" ProgID="Equation.DSMT4" ShapeID="_x0000_i8668" DrawAspect="Content" ObjectID="_1552647442" r:id="rId19"/>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 xml:space="preserve">For the outlet node </w:t>
      </w:r>
      <w:r w:rsidRPr="006B4F62">
        <w:rPr>
          <w:rFonts w:ascii="Courier New" w:eastAsia="Times New Roman" w:hAnsi="Courier New"/>
          <w:sz w:val="20"/>
        </w:rPr>
        <w:t>(</w:t>
      </w:r>
      <w:r w:rsidRPr="006B4F62">
        <w:rPr>
          <w:rFonts w:ascii="STIX" w:eastAsia="Times New Roman" w:hAnsi="STIX"/>
          <w:i/>
          <w:sz w:val="20"/>
        </w:rPr>
        <w:t>i</w:t>
      </w:r>
      <w:r w:rsidRPr="006B4F62">
        <w:rPr>
          <w:rFonts w:ascii="STIX" w:eastAsia="Times New Roman" w:hAnsi="STIX"/>
          <w:sz w:val="20"/>
        </w:rPr>
        <w:t xml:space="preserve"> </w:t>
      </w:r>
      <w:r w:rsidRPr="006B4F62">
        <w:rPr>
          <w:rFonts w:ascii="Courier New" w:eastAsia="Times New Roman" w:hAnsi="Courier New"/>
          <w:sz w:val="20"/>
        </w:rPr>
        <w:t>=</w:t>
      </w:r>
      <w:r w:rsidRPr="006B4F62">
        <w:rPr>
          <w:rFonts w:ascii="STIX" w:eastAsia="Times New Roman" w:hAnsi="STIX"/>
          <w:sz w:val="20"/>
        </w:rPr>
        <w:t xml:space="preserve"> 10</w:t>
      </w:r>
      <w:r w:rsidRPr="006B4F62">
        <w:rPr>
          <w:rFonts w:ascii="Courier New" w:eastAsia="Times New Roman" w:hAnsi="Courier New"/>
          <w:sz w:val="20"/>
        </w:rPr>
        <w:t>)</w:t>
      </w:r>
      <w:r w:rsidRPr="006B4F62">
        <w:rPr>
          <w:rFonts w:ascii="STIX" w:eastAsia="Times New Roman" w:hAnsi="STIX"/>
          <w:sz w:val="20"/>
        </w:rPr>
        <w:t xml:space="preserve">, the zero derivative condition implies that </w:t>
      </w:r>
      <w:r w:rsidRPr="006B4F62">
        <w:rPr>
          <w:rFonts w:ascii="STIX" w:eastAsia="Times New Roman" w:hAnsi="STIX"/>
          <w:i/>
          <w:sz w:val="20"/>
        </w:rPr>
        <w:t>c</w:t>
      </w:r>
      <w:r w:rsidRPr="006B4F62">
        <w:rPr>
          <w:rFonts w:ascii="STIX" w:eastAsia="Times New Roman" w:hAnsi="STIX"/>
          <w:sz w:val="20"/>
          <w:vertAlign w:val="subscript"/>
        </w:rPr>
        <w:t>11</w:t>
      </w:r>
      <w:r w:rsidRPr="006B4F62">
        <w:rPr>
          <w:rFonts w:ascii="STIX" w:eastAsia="Times New Roman" w:hAnsi="STIX"/>
          <w:sz w:val="20"/>
        </w:rPr>
        <w:t xml:space="preserve"> </w:t>
      </w:r>
      <w:r w:rsidRPr="006B4F62">
        <w:rPr>
          <w:rFonts w:ascii="Courier New" w:eastAsia="Times New Roman" w:hAnsi="Courier New"/>
          <w:sz w:val="20"/>
        </w:rPr>
        <w:t>=</w:t>
      </w:r>
      <w:r w:rsidRPr="006B4F62">
        <w:rPr>
          <w:rFonts w:ascii="STIX" w:eastAsia="Times New Roman" w:hAnsi="STIX"/>
          <w:sz w:val="20"/>
        </w:rPr>
        <w:t xml:space="preserve"> </w:t>
      </w:r>
      <w:r w:rsidRPr="006B4F62">
        <w:rPr>
          <w:rFonts w:ascii="STIX" w:eastAsia="Times New Roman" w:hAnsi="STIX"/>
          <w:i/>
          <w:sz w:val="20"/>
        </w:rPr>
        <w:t>c</w:t>
      </w:r>
      <w:r w:rsidRPr="006B4F62">
        <w:rPr>
          <w:rFonts w:ascii="STIX" w:eastAsia="Times New Roman" w:hAnsi="STIX"/>
          <w:sz w:val="20"/>
          <w:vertAlign w:val="subscript"/>
        </w:rPr>
        <w:t>9</w:t>
      </w:r>
      <w:r w:rsidRPr="006B4F62">
        <w:rPr>
          <w:rFonts w:ascii="STIX" w:eastAsia="Times New Roman" w:hAnsi="STIX"/>
          <w:sz w:val="20"/>
        </w:rPr>
        <w:t>,</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30"/>
          <w:sz w:val="20"/>
          <w:szCs w:val="20"/>
        </w:rPr>
        <w:object w:dxaOrig="2980" w:dyaOrig="720">
          <v:shape id="_x0000_i8669" type="#_x0000_t75" style="width:149.25pt;height:36pt" o:ole="">
            <v:imagedata r:id="rId20" o:title=""/>
          </v:shape>
          <o:OLEObject Type="Embed" ProgID="Equation.DSMT4" ShapeID="_x0000_i8669" DrawAspect="Content" ObjectID="_1552647443" r:id="rId21"/>
        </w:object>
      </w:r>
    </w:p>
    <w:p w:rsidR="006B4F62" w:rsidRPr="006B4F62" w:rsidRDefault="006B4F62" w:rsidP="006B4F62">
      <w:pPr>
        <w:spacing w:after="0" w:line="240" w:lineRule="auto"/>
        <w:rPr>
          <w:rFonts w:ascii="STIX" w:eastAsia="Times New Roman" w:hAnsi="STIX"/>
          <w:sz w:val="20"/>
        </w:rPr>
      </w:pPr>
    </w:p>
    <w:p w:rsidR="006B4F62" w:rsidRDefault="006B4F62" w:rsidP="006B4F62">
      <w:pPr>
        <w:spacing w:after="0" w:line="240" w:lineRule="auto"/>
        <w:rPr>
          <w:rFonts w:ascii="STIX" w:hAnsi="STIX" w:cs="STIX"/>
          <w:i/>
          <w:sz w:val="20"/>
          <w:szCs w:val="20"/>
        </w:rPr>
        <w:sectPr w:rsidR="006B4F62"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Substituting the parameters gives</w: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position w:val="-12"/>
          <w:szCs w:val="24"/>
        </w:rPr>
        <w:object w:dxaOrig="1939" w:dyaOrig="360">
          <v:shape id="_x0000_i8670" type="#_x0000_t75" style="width:96.75pt;height:18pt" o:ole="">
            <v:imagedata r:id="rId23" o:title=""/>
          </v:shape>
          <o:OLEObject Type="Embed" ProgID="Equation.DSMT4" ShapeID="_x0000_i8670" DrawAspect="Content" ObjectID="_1552647444" r:id="rId24"/>
        </w:object>
      </w:r>
    </w:p>
    <w:p w:rsidR="006B4F62" w:rsidRPr="006B4F62" w:rsidRDefault="006B4F62" w:rsidP="006B4F62">
      <w:pPr>
        <w:spacing w:after="0" w:line="240" w:lineRule="auto"/>
        <w:rPr>
          <w:rFonts w:ascii="STIX" w:eastAsia="Times New Roman" w:hAnsi="STIX"/>
          <w:sz w:val="20"/>
        </w:rPr>
      </w:pPr>
    </w:p>
    <w:p w:rsidR="006B4F62" w:rsidRPr="006B4F62" w:rsidRDefault="006B4F62" w:rsidP="006B4F62">
      <w:pPr>
        <w:spacing w:after="0" w:line="240" w:lineRule="auto"/>
        <w:rPr>
          <w:rFonts w:ascii="STIX" w:eastAsia="Times New Roman" w:hAnsi="STIX"/>
          <w:sz w:val="20"/>
        </w:rPr>
      </w:pPr>
      <w:r w:rsidRPr="006B4F62">
        <w:rPr>
          <w:rFonts w:ascii="STIX" w:eastAsia="Times New Roman" w:hAnsi="STIX"/>
          <w:sz w:val="20"/>
        </w:rPr>
        <w:t>The tridiagonal system can be solved. Here are the results together with the analytical solution. As can be seen, the results are quite close.</w:t>
      </w:r>
    </w:p>
    <w:p w:rsidR="006B4F62" w:rsidRPr="006B4F62" w:rsidRDefault="006B4F62" w:rsidP="006B4F62">
      <w:pPr>
        <w:spacing w:after="0" w:line="240" w:lineRule="auto"/>
        <w:rPr>
          <w:rFonts w:ascii="STIX" w:eastAsia="Times New Roman" w:hAnsi="STIX"/>
          <w:sz w:val="20"/>
        </w:rPr>
      </w:pPr>
    </w:p>
    <w:tbl>
      <w:tblPr>
        <w:tblW w:w="3748" w:type="dxa"/>
        <w:tblInd w:w="108" w:type="dxa"/>
        <w:tblLook w:val="04A0"/>
      </w:tblPr>
      <w:tblGrid>
        <w:gridCol w:w="936"/>
        <w:gridCol w:w="1436"/>
        <w:gridCol w:w="1376"/>
      </w:tblGrid>
      <w:tr w:rsidR="006B4F62" w:rsidRPr="006B4F62" w:rsidTr="00FF7247">
        <w:trPr>
          <w:trHeight w:val="144"/>
        </w:trPr>
        <w:tc>
          <w:tcPr>
            <w:tcW w:w="936" w:type="dxa"/>
            <w:tcBorders>
              <w:top w:val="single" w:sz="4" w:space="0" w:color="auto"/>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b/>
                <w:sz w:val="18"/>
                <w:szCs w:val="20"/>
              </w:rPr>
            </w:pPr>
            <w:r w:rsidRPr="006B4F62">
              <w:rPr>
                <w:rFonts w:ascii="STIX" w:eastAsia="Times New Roman" w:hAnsi="STIX" w:cs="STIX MathJax Main"/>
                <w:b/>
                <w:i/>
                <w:sz w:val="18"/>
                <w:szCs w:val="20"/>
              </w:rPr>
              <w:t>x</w:t>
            </w:r>
            <w:r w:rsidRPr="006B4F62">
              <w:rPr>
                <w:rFonts w:ascii="STIX" w:eastAsia="Times New Roman" w:hAnsi="STIX" w:cs="STIX MathJax Main"/>
                <w:b/>
                <w:sz w:val="18"/>
                <w:szCs w:val="20"/>
              </w:rPr>
              <w:t xml:space="preserve"> (m)</w:t>
            </w:r>
          </w:p>
        </w:tc>
        <w:tc>
          <w:tcPr>
            <w:tcW w:w="1436" w:type="dxa"/>
            <w:tcBorders>
              <w:top w:val="single" w:sz="4" w:space="0" w:color="auto"/>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b/>
                <w:sz w:val="18"/>
                <w:szCs w:val="20"/>
              </w:rPr>
            </w:pPr>
            <w:r w:rsidRPr="006B4F62">
              <w:rPr>
                <w:rFonts w:ascii="STIX" w:eastAsia="Times New Roman" w:hAnsi="STIX" w:cs="STIX MathJax Main"/>
                <w:b/>
                <w:i/>
                <w:sz w:val="18"/>
                <w:szCs w:val="20"/>
              </w:rPr>
              <w:t>c</w:t>
            </w:r>
            <w:r w:rsidRPr="006B4F62">
              <w:rPr>
                <w:rFonts w:ascii="STIX" w:eastAsia="Times New Roman" w:hAnsi="STIX" w:cs="STIX MathJax Main"/>
                <w:b/>
                <w:sz w:val="18"/>
                <w:szCs w:val="20"/>
              </w:rPr>
              <w:t>-numerical</w:t>
            </w:r>
          </w:p>
        </w:tc>
        <w:tc>
          <w:tcPr>
            <w:tcW w:w="1376" w:type="dxa"/>
            <w:tcBorders>
              <w:top w:val="single" w:sz="4" w:space="0" w:color="auto"/>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b/>
                <w:sz w:val="18"/>
                <w:szCs w:val="20"/>
              </w:rPr>
            </w:pPr>
            <w:r w:rsidRPr="006B4F62">
              <w:rPr>
                <w:rFonts w:ascii="STIX" w:eastAsia="Times New Roman" w:hAnsi="STIX" w:cs="STIX MathJax Main"/>
                <w:b/>
                <w:i/>
                <w:sz w:val="18"/>
                <w:szCs w:val="20"/>
              </w:rPr>
              <w:t>c</w:t>
            </w:r>
            <w:r w:rsidRPr="006B4F62">
              <w:rPr>
                <w:rFonts w:ascii="STIX" w:eastAsia="Times New Roman" w:hAnsi="STIX" w:cs="STIX MathJax Main"/>
                <w:b/>
                <w:sz w:val="18"/>
                <w:szCs w:val="20"/>
              </w:rPr>
              <w:t>-analytical</w:t>
            </w:r>
          </w:p>
        </w:tc>
      </w:tr>
      <w:tr w:rsidR="006B4F62" w:rsidRPr="006B4F62" w:rsidTr="00FF7247">
        <w:trPr>
          <w:trHeight w:val="144"/>
        </w:trPr>
        <w:tc>
          <w:tcPr>
            <w:tcW w:w="936" w:type="dxa"/>
            <w:tcBorders>
              <w:top w:val="single" w:sz="4" w:space="0" w:color="auto"/>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0</w:t>
            </w:r>
          </w:p>
        </w:tc>
        <w:tc>
          <w:tcPr>
            <w:tcW w:w="1436" w:type="dxa"/>
            <w:tcBorders>
              <w:top w:val="single" w:sz="4" w:space="0" w:color="auto"/>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62.3030</w:t>
            </w:r>
          </w:p>
        </w:tc>
        <w:tc>
          <w:tcPr>
            <w:tcW w:w="1376" w:type="dxa"/>
            <w:tcBorders>
              <w:top w:val="single" w:sz="4" w:space="0" w:color="auto"/>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62.1767</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10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55.2012</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55.0818</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48.9746</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48.8634</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43.5410</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43.4390</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40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38.8351</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38.7437</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50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34.8094</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34.7300</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60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31.4362</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31.3708</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70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28.7106</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28.6615</w:t>
            </w:r>
          </w:p>
        </w:tc>
      </w:tr>
      <w:tr w:rsidR="006B4F62" w:rsidRPr="006B4F62" w:rsidTr="00FF7247">
        <w:trPr>
          <w:trHeight w:val="144"/>
        </w:trPr>
        <w:tc>
          <w:tcPr>
            <w:tcW w:w="9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80</w:t>
            </w:r>
          </w:p>
        </w:tc>
        <w:tc>
          <w:tcPr>
            <w:tcW w:w="143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26.6553</w:t>
            </w:r>
          </w:p>
        </w:tc>
        <w:tc>
          <w:tcPr>
            <w:tcW w:w="1376" w:type="dxa"/>
            <w:tcBorders>
              <w:top w:val="nil"/>
              <w:left w:val="nil"/>
              <w:bottom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26.6258</w:t>
            </w:r>
          </w:p>
        </w:tc>
      </w:tr>
      <w:tr w:rsidR="006B4F62" w:rsidRPr="006B4F62" w:rsidTr="00FF7247">
        <w:trPr>
          <w:trHeight w:val="144"/>
        </w:trPr>
        <w:tc>
          <w:tcPr>
            <w:tcW w:w="936" w:type="dxa"/>
            <w:tcBorders>
              <w:top w:val="nil"/>
              <w:left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90</w:t>
            </w:r>
          </w:p>
        </w:tc>
        <w:tc>
          <w:tcPr>
            <w:tcW w:w="1436" w:type="dxa"/>
            <w:tcBorders>
              <w:top w:val="nil"/>
              <w:left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25.3280</w:t>
            </w:r>
          </w:p>
        </w:tc>
        <w:tc>
          <w:tcPr>
            <w:tcW w:w="1376" w:type="dxa"/>
            <w:tcBorders>
              <w:top w:val="nil"/>
              <w:left w:val="nil"/>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25.3223</w:t>
            </w:r>
          </w:p>
        </w:tc>
      </w:tr>
      <w:tr w:rsidR="006B4F62" w:rsidRPr="006B4F62" w:rsidTr="00FF7247">
        <w:trPr>
          <w:trHeight w:val="144"/>
        </w:trPr>
        <w:tc>
          <w:tcPr>
            <w:tcW w:w="936" w:type="dxa"/>
            <w:tcBorders>
              <w:top w:val="nil"/>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100</w:t>
            </w:r>
          </w:p>
        </w:tc>
        <w:tc>
          <w:tcPr>
            <w:tcW w:w="1436" w:type="dxa"/>
            <w:tcBorders>
              <w:top w:val="nil"/>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24.8313</w:t>
            </w:r>
          </w:p>
        </w:tc>
        <w:tc>
          <w:tcPr>
            <w:tcW w:w="1376" w:type="dxa"/>
            <w:tcBorders>
              <w:top w:val="nil"/>
              <w:left w:val="nil"/>
              <w:bottom w:val="single" w:sz="4" w:space="0" w:color="auto"/>
              <w:right w:val="nil"/>
            </w:tcBorders>
            <w:noWrap/>
            <w:vAlign w:val="center"/>
            <w:hideMark/>
          </w:tcPr>
          <w:p w:rsidR="006B4F62" w:rsidRPr="006B4F62" w:rsidRDefault="006B4F62" w:rsidP="006B4F62">
            <w:pPr>
              <w:spacing w:after="0" w:line="240" w:lineRule="auto"/>
              <w:jc w:val="center"/>
              <w:rPr>
                <w:rFonts w:ascii="STIX MathJax Main" w:eastAsia="Times New Roman" w:hAnsi="STIX MathJax Main" w:cs="STIX MathJax Main"/>
                <w:sz w:val="18"/>
                <w:szCs w:val="20"/>
              </w:rPr>
            </w:pPr>
            <w:r w:rsidRPr="006B4F62">
              <w:rPr>
                <w:rFonts w:ascii="STIX" w:eastAsia="Times New Roman" w:hAnsi="STIX" w:cs="STIX MathJax Main"/>
                <w:sz w:val="18"/>
                <w:szCs w:val="20"/>
              </w:rPr>
              <w:t>24.8552</w:t>
            </w:r>
          </w:p>
        </w:tc>
      </w:tr>
    </w:tbl>
    <w:p w:rsidR="006B4F62" w:rsidRPr="006B4F62" w:rsidRDefault="006B4F62" w:rsidP="006B4F62">
      <w:pPr>
        <w:spacing w:after="0" w:line="240" w:lineRule="auto"/>
        <w:rPr>
          <w:rFonts w:ascii="STIX" w:eastAsia="Times New Roman" w:hAnsi="STIX"/>
          <w:sz w:val="20"/>
          <w:szCs w:val="24"/>
        </w:rPr>
      </w:pPr>
    </w:p>
    <w:p w:rsidR="006B4F62" w:rsidRPr="006B4F62" w:rsidRDefault="006B4F62" w:rsidP="006B4F62">
      <w:pPr>
        <w:spacing w:after="0" w:line="240" w:lineRule="auto"/>
        <w:rPr>
          <w:rFonts w:ascii="STIX" w:eastAsia="Times New Roman" w:hAnsi="STIX"/>
          <w:sz w:val="20"/>
          <w:szCs w:val="24"/>
        </w:rPr>
      </w:pPr>
      <w:r w:rsidRPr="006B4F62">
        <w:rPr>
          <w:rFonts w:ascii="STIX" w:eastAsia="Times New Roman" w:hAnsi="STIX"/>
          <w:sz w:val="20"/>
          <w:szCs w:val="24"/>
        </w:rPr>
        <w:t>This is also evident when the results are plotted and the two solutions are visually indistinguishable.</w:t>
      </w:r>
    </w:p>
    <w:p w:rsidR="006B4F62" w:rsidRPr="006B4F62" w:rsidRDefault="006B4F62" w:rsidP="006B4F62">
      <w:pPr>
        <w:spacing w:after="0" w:line="240" w:lineRule="auto"/>
        <w:rPr>
          <w:rFonts w:ascii="STIX" w:eastAsia="Times New Roman" w:hAnsi="STIX"/>
          <w:sz w:val="20"/>
          <w:szCs w:val="24"/>
        </w:rPr>
      </w:pPr>
    </w:p>
    <w:p w:rsidR="006B4F62" w:rsidRPr="006B4F62" w:rsidRDefault="006B4F62" w:rsidP="006B4F62">
      <w:pPr>
        <w:spacing w:after="0" w:line="240" w:lineRule="auto"/>
        <w:rPr>
          <w:rFonts w:ascii="STIX" w:eastAsia="Times New Roman" w:hAnsi="STIX"/>
          <w:sz w:val="20"/>
          <w:szCs w:val="20"/>
        </w:rPr>
      </w:pPr>
      <w:r w:rsidRPr="006B4F62">
        <w:rPr>
          <w:rFonts w:ascii="STIX" w:eastAsia="Times New Roman" w:hAnsi="STIX"/>
          <w:sz w:val="20"/>
          <w:szCs w:val="20"/>
        </w:rPr>
        <w:drawing>
          <wp:inline distT="0" distB="0" distL="0" distR="0">
            <wp:extent cx="2503479" cy="1331392"/>
            <wp:effectExtent l="3338" t="2959" r="3338" b="2959"/>
            <wp:docPr id="374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24360D" w:rsidRPr="0024360D" w:rsidRDefault="0024360D" w:rsidP="006B4F62">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schapr01\Dropbox\NumMethMatlab3\NewSolMan\Chap24ODEBV\2212MixedFlowReactor.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plotArea>
      <c:layout>
        <c:manualLayout>
          <c:layoutTarget val="inner"/>
          <c:xMode val="edge"/>
          <c:yMode val="edge"/>
          <c:x val="0.11989129483814523"/>
          <c:y val="4.5208515602216386E-2"/>
          <c:w val="0.82687270341207364"/>
          <c:h val="0.8326195683872849"/>
        </c:manualLayout>
      </c:layout>
      <c:scatterChart>
        <c:scatterStyle val="lineMarker"/>
        <c:ser>
          <c:idx val="0"/>
          <c:order val="0"/>
          <c:tx>
            <c:strRef>
              <c:f>Sheet1!$E$1</c:f>
              <c:strCache>
                <c:ptCount val="1"/>
                <c:pt idx="0">
                  <c:v>c-numerical</c:v>
                </c:pt>
              </c:strCache>
            </c:strRef>
          </c:tx>
          <c:spPr>
            <a:ln w="47625">
              <a:solidFill>
                <a:schemeClr val="tx1"/>
              </a:solidFill>
            </a:ln>
          </c:spPr>
          <c:marker>
            <c:symbol val="none"/>
          </c:marker>
          <c:xVal>
            <c:numRef>
              <c:f>Sheet1!$D$2:$D$12</c:f>
              <c:numCache>
                <c:formatCode>General</c:formatCode>
                <c:ptCount val="11"/>
                <c:pt idx="0">
                  <c:v>0</c:v>
                </c:pt>
                <c:pt idx="1">
                  <c:v>10</c:v>
                </c:pt>
                <c:pt idx="2">
                  <c:v>20</c:v>
                </c:pt>
                <c:pt idx="3">
                  <c:v>30</c:v>
                </c:pt>
                <c:pt idx="4">
                  <c:v>40</c:v>
                </c:pt>
                <c:pt idx="5">
                  <c:v>50</c:v>
                </c:pt>
                <c:pt idx="6">
                  <c:v>60</c:v>
                </c:pt>
                <c:pt idx="7">
                  <c:v>70</c:v>
                </c:pt>
                <c:pt idx="8">
                  <c:v>80</c:v>
                </c:pt>
                <c:pt idx="9">
                  <c:v>90</c:v>
                </c:pt>
                <c:pt idx="10">
                  <c:v>100</c:v>
                </c:pt>
              </c:numCache>
            </c:numRef>
          </c:xVal>
          <c:yVal>
            <c:numRef>
              <c:f>Sheet1!$E$2:$E$12</c:f>
              <c:numCache>
                <c:formatCode>0.0000</c:formatCode>
                <c:ptCount val="11"/>
                <c:pt idx="0">
                  <c:v>62.303013205281346</c:v>
                </c:pt>
                <c:pt idx="1">
                  <c:v>55.201221719456044</c:v>
                </c:pt>
                <c:pt idx="2">
                  <c:v>48.974641979867592</c:v>
                </c:pt>
                <c:pt idx="3">
                  <c:v>43.541028608364805</c:v>
                </c:pt>
                <c:pt idx="4">
                  <c:v>38.835102425788655</c:v>
                </c:pt>
                <c:pt idx="5">
                  <c:v>34.809419421563966</c:v>
                </c:pt>
                <c:pt idx="6">
                  <c:v>31.436225501803321</c:v>
                </c:pt>
                <c:pt idx="7">
                  <c:v>28.710598511064902</c:v>
                </c:pt>
                <c:pt idx="8">
                  <c:v>26.655303233987489</c:v>
                </c:pt>
                <c:pt idx="9">
                  <c:v>25.32795581684789</c:v>
                </c:pt>
                <c:pt idx="10">
                  <c:v>24.831329232203789</c:v>
                </c:pt>
              </c:numCache>
            </c:numRef>
          </c:yVal>
        </c:ser>
        <c:ser>
          <c:idx val="1"/>
          <c:order val="1"/>
          <c:tx>
            <c:strRef>
              <c:f>Sheet1!$F$1</c:f>
              <c:strCache>
                <c:ptCount val="1"/>
                <c:pt idx="0">
                  <c:v>c-analytical</c:v>
                </c:pt>
              </c:strCache>
            </c:strRef>
          </c:tx>
          <c:spPr>
            <a:ln>
              <a:solidFill>
                <a:srgbClr val="FFFF00"/>
              </a:solidFill>
            </a:ln>
          </c:spPr>
          <c:marker>
            <c:symbol val="none"/>
          </c:marker>
          <c:xVal>
            <c:numRef>
              <c:f>Sheet1!$D$2:$D$12</c:f>
              <c:numCache>
                <c:formatCode>General</c:formatCode>
                <c:ptCount val="11"/>
                <c:pt idx="0">
                  <c:v>0</c:v>
                </c:pt>
                <c:pt idx="1">
                  <c:v>10</c:v>
                </c:pt>
                <c:pt idx="2">
                  <c:v>20</c:v>
                </c:pt>
                <c:pt idx="3">
                  <c:v>30</c:v>
                </c:pt>
                <c:pt idx="4">
                  <c:v>40</c:v>
                </c:pt>
                <c:pt idx="5">
                  <c:v>50</c:v>
                </c:pt>
                <c:pt idx="6">
                  <c:v>60</c:v>
                </c:pt>
                <c:pt idx="7">
                  <c:v>70</c:v>
                </c:pt>
                <c:pt idx="8">
                  <c:v>80</c:v>
                </c:pt>
                <c:pt idx="9">
                  <c:v>90</c:v>
                </c:pt>
                <c:pt idx="10">
                  <c:v>100</c:v>
                </c:pt>
              </c:numCache>
            </c:numRef>
          </c:xVal>
          <c:yVal>
            <c:numRef>
              <c:f>Sheet1!$F$2:$F$12</c:f>
              <c:numCache>
                <c:formatCode>0.0000</c:formatCode>
                <c:ptCount val="11"/>
                <c:pt idx="0">
                  <c:v>62.176678996416264</c:v>
                </c:pt>
                <c:pt idx="1">
                  <c:v>55.081841419941973</c:v>
                </c:pt>
                <c:pt idx="2">
                  <c:v>48.863377162099525</c:v>
                </c:pt>
                <c:pt idx="3">
                  <c:v>43.439042196215837</c:v>
                </c:pt>
                <c:pt idx="4">
                  <c:v>38.743665217509665</c:v>
                </c:pt>
                <c:pt idx="5">
                  <c:v>34.730032143660893</c:v>
                </c:pt>
                <c:pt idx="6">
                  <c:v>31.370764254248808</c:v>
                </c:pt>
                <c:pt idx="7">
                  <c:v>28.661493405897936</c:v>
                </c:pt>
                <c:pt idx="8">
                  <c:v>26.625762568528103</c:v>
                </c:pt>
                <c:pt idx="9">
                  <c:v>25.322251395820032</c:v>
                </c:pt>
                <c:pt idx="10">
                  <c:v>24.855162618348778</c:v>
                </c:pt>
              </c:numCache>
            </c:numRef>
          </c:yVal>
        </c:ser>
        <c:axId val="400172928"/>
        <c:axId val="400209408"/>
      </c:scatterChart>
      <c:valAx>
        <c:axId val="400172928"/>
        <c:scaling>
          <c:orientation val="minMax"/>
          <c:max val="100"/>
          <c:min val="0"/>
        </c:scaling>
        <c:axPos val="b"/>
        <c:numFmt formatCode="General" sourceLinked="1"/>
        <c:minorTickMark val="in"/>
        <c:tickLblPos val="nextTo"/>
        <c:crossAx val="400209408"/>
        <c:crosses val="autoZero"/>
        <c:crossBetween val="midCat"/>
        <c:majorUnit val="20"/>
        <c:minorUnit val="10"/>
      </c:valAx>
      <c:valAx>
        <c:axId val="400209408"/>
        <c:scaling>
          <c:orientation val="minMax"/>
        </c:scaling>
        <c:axPos val="l"/>
        <c:numFmt formatCode="0" sourceLinked="0"/>
        <c:minorTickMark val="in"/>
        <c:tickLblPos val="nextTo"/>
        <c:crossAx val="400172928"/>
        <c:crosses val="autoZero"/>
        <c:crossBetween val="midCat"/>
      </c:valAx>
      <c:spPr>
        <a:solidFill>
          <a:schemeClr val="bg1">
            <a:lumMod val="75000"/>
          </a:schemeClr>
        </a:solidFill>
      </c:spPr>
    </c:plotArea>
    <c:legend>
      <c:legendPos val="r"/>
      <c:layout>
        <c:manualLayout>
          <c:xMode val="edge"/>
          <c:yMode val="edge"/>
          <c:x val="0.63372156605424379"/>
          <c:y val="0.15702354913969091"/>
          <c:w val="0.29994510061242347"/>
          <c:h val="0.23458005249343841"/>
        </c:manualLayout>
      </c:layout>
    </c:legend>
    <c:plotVisOnly val="1"/>
    <c:dispBlanksAs val="gap"/>
  </c:chart>
  <c:txPr>
    <a:bodyPr/>
    <a:lstStyle/>
    <a:p>
      <a:pPr>
        <a:defRPr sz="1600" b="1" i="0" baseline="0"/>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A3C6E-6507-487C-9D55-41209F754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199</Words>
  <Characters>1135</Characters>
  <Application>Microsoft Office Word</Application>
  <DocSecurity>0</DocSecurity>
  <Lines>9</Lines>
  <Paragraphs>2</Paragraphs>
  <ScaleCrop>false</ScaleCrop>
  <Company/>
  <LinksUpToDate>false</LinksUpToDate>
  <CharactersWithSpaces>1332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2017-04-02T15:08:00Z</dcterms:created>
  <dcterms:modified xsi:type="dcterms:W3CDTF">2017-04-02T15:08:00Z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